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73" w:rsidRPr="00255F8E" w:rsidRDefault="00491373" w:rsidP="00491373">
      <w:pPr>
        <w:spacing w:after="0"/>
        <w:rPr>
          <w:rFonts w:eastAsia="Calibri"/>
          <w:b/>
        </w:rPr>
      </w:pPr>
      <w:bookmarkStart w:id="0" w:name="_GoBack"/>
      <w:bookmarkEnd w:id="0"/>
      <w:r w:rsidRPr="00255F8E">
        <w:rPr>
          <w:rFonts w:eastAsia="Calibri"/>
          <w:b/>
        </w:rPr>
        <w:t>To:         New Jersey Law Revision Commission</w:t>
      </w:r>
    </w:p>
    <w:p w:rsidR="00491373" w:rsidRPr="00255F8E" w:rsidRDefault="00491373" w:rsidP="00491373">
      <w:pPr>
        <w:spacing w:after="0"/>
        <w:rPr>
          <w:rFonts w:eastAsia="Calibri"/>
          <w:b/>
        </w:rPr>
      </w:pPr>
      <w:r w:rsidRPr="00255F8E">
        <w:rPr>
          <w:rFonts w:eastAsia="Calibri"/>
          <w:b/>
        </w:rPr>
        <w:t>From:    Susan G. Thatch</w:t>
      </w:r>
    </w:p>
    <w:p w:rsidR="00491373" w:rsidRPr="00255F8E" w:rsidRDefault="00491373" w:rsidP="00491373">
      <w:pPr>
        <w:spacing w:after="0"/>
        <w:rPr>
          <w:rFonts w:eastAsia="Calibri"/>
          <w:b/>
        </w:rPr>
      </w:pPr>
      <w:r>
        <w:rPr>
          <w:rFonts w:eastAsia="Calibri"/>
          <w:b/>
        </w:rPr>
        <w:t>Re:         Bulk sale tax notification – N.J.S. 54:50-38</w:t>
      </w:r>
    </w:p>
    <w:p w:rsidR="00491373" w:rsidRPr="00255F8E" w:rsidRDefault="00491373" w:rsidP="00491373">
      <w:pPr>
        <w:spacing w:after="0"/>
        <w:rPr>
          <w:rFonts w:eastAsia="Calibri"/>
          <w:b/>
        </w:rPr>
      </w:pPr>
      <w:r>
        <w:rPr>
          <w:rFonts w:eastAsia="Calibri"/>
          <w:b/>
        </w:rPr>
        <w:t>Date:      February 8, 2016</w:t>
      </w:r>
    </w:p>
    <w:p w:rsidR="00491373" w:rsidRPr="00255F8E" w:rsidRDefault="00491373" w:rsidP="00491373">
      <w:pPr>
        <w:spacing w:after="0"/>
        <w:rPr>
          <w:rFonts w:eastAsia="Calibri"/>
          <w:b/>
        </w:rPr>
      </w:pPr>
    </w:p>
    <w:p w:rsidR="00491373" w:rsidRDefault="00491373" w:rsidP="00491373">
      <w:pPr>
        <w:pBdr>
          <w:bottom w:val="single" w:sz="12" w:space="1" w:color="auto"/>
        </w:pBdr>
        <w:spacing w:after="0" w:line="240" w:lineRule="auto"/>
        <w:jc w:val="center"/>
        <w:rPr>
          <w:rFonts w:eastAsia="Calibri"/>
          <w:b/>
        </w:rPr>
      </w:pPr>
      <w:r w:rsidRPr="00255F8E">
        <w:rPr>
          <w:rFonts w:eastAsia="Calibri"/>
          <w:b/>
        </w:rPr>
        <w:t>MEMORANDUM</w:t>
      </w:r>
    </w:p>
    <w:p w:rsidR="00491373" w:rsidRPr="00561BFC" w:rsidRDefault="00491373" w:rsidP="00491373">
      <w:pPr>
        <w:pBdr>
          <w:bottom w:val="single" w:sz="12" w:space="1" w:color="auto"/>
        </w:pBdr>
        <w:spacing w:after="0" w:line="240" w:lineRule="auto"/>
        <w:jc w:val="center"/>
        <w:rPr>
          <w:rFonts w:eastAsia="Calibri"/>
          <w:b/>
        </w:rPr>
      </w:pPr>
    </w:p>
    <w:p w:rsidR="00491373" w:rsidRDefault="00491373" w:rsidP="00491373">
      <w:pPr>
        <w:spacing w:after="0" w:line="240" w:lineRule="auto"/>
        <w:jc w:val="center"/>
        <w:rPr>
          <w:rFonts w:eastAsia="Calibri"/>
          <w:b/>
          <w:szCs w:val="24"/>
        </w:rPr>
      </w:pPr>
    </w:p>
    <w:p w:rsidR="00491373" w:rsidRDefault="00491373" w:rsidP="00FD7DA5">
      <w:pPr>
        <w:jc w:val="both"/>
      </w:pPr>
      <w:r>
        <w:tab/>
        <w:t xml:space="preserve">The attached Draft Tentative Report </w:t>
      </w:r>
      <w:r w:rsidR="00FD7DA5">
        <w:t xml:space="preserve">formalizes the narrative and draft </w:t>
      </w:r>
      <w:r w:rsidR="00AF488C">
        <w:t xml:space="preserve">statutory </w:t>
      </w:r>
      <w:r w:rsidR="00FD7DA5">
        <w:t xml:space="preserve">language presented to </w:t>
      </w:r>
      <w:r w:rsidR="00513845">
        <w:t>the Commission at the January 21</w:t>
      </w:r>
      <w:r w:rsidR="00FD7DA5">
        <w:t xml:space="preserve">, 2016 meeting. </w:t>
      </w:r>
    </w:p>
    <w:p w:rsidR="00D32109" w:rsidRDefault="00FD7DA5" w:rsidP="00FD7DA5">
      <w:pPr>
        <w:ind w:firstLine="720"/>
        <w:jc w:val="both"/>
      </w:pPr>
      <w:r>
        <w:t>Please note that Staff has</w:t>
      </w:r>
      <w:r w:rsidR="00495B08">
        <w:t xml:space="preserve"> removed the language referencing “other real estate tenancy relationships recognized under the law</w:t>
      </w:r>
      <w:r>
        <w:t>s of this State.” As discussed at the Commission meeting</w:t>
      </w:r>
      <w:r w:rsidR="00495B08">
        <w:t xml:space="preserve">, this </w:t>
      </w:r>
      <w:r w:rsidR="00FC195D">
        <w:t>language was derived from NJ’s Horizontal P</w:t>
      </w:r>
      <w:r w:rsidR="00495B08">
        <w:t>ro</w:t>
      </w:r>
      <w:r w:rsidR="00FC195D">
        <w:t>perty R</w:t>
      </w:r>
      <w:r>
        <w:t>ights act</w:t>
      </w:r>
      <w:r w:rsidR="00F50DD0">
        <w:t xml:space="preserve"> (N.J.S. 46:8A-5) and</w:t>
      </w:r>
      <w:r>
        <w:t xml:space="preserve"> simila</w:t>
      </w:r>
      <w:r w:rsidR="00B01675">
        <w:t>r language is found</w:t>
      </w:r>
      <w:r>
        <w:t xml:space="preserve"> in New Jersey’s</w:t>
      </w:r>
      <w:r w:rsidR="00495B08">
        <w:t xml:space="preserve"> Condominium </w:t>
      </w:r>
      <w:r w:rsidR="00B01675">
        <w:t>Act (N.J.S.46:8B-5</w:t>
      </w:r>
      <w:r w:rsidR="00FC195D">
        <w:t>)</w:t>
      </w:r>
      <w:r w:rsidR="00AF488C">
        <w:t>. In each instance, the phrase</w:t>
      </w:r>
      <w:r w:rsidR="00FC195D">
        <w:t xml:space="preserve"> is contained within the</w:t>
      </w:r>
      <w:r w:rsidR="00F50DD0">
        <w:t xml:space="preserve"> declaration that</w:t>
      </w:r>
      <w:r w:rsidR="00495B08">
        <w:t xml:space="preserve"> an apartment or a condo may be owned by one or more person. </w:t>
      </w:r>
      <w:r w:rsidR="00D55938">
        <w:t xml:space="preserve">Research has not uncovered </w:t>
      </w:r>
      <w:r w:rsidR="00F453A6">
        <w:t xml:space="preserve">similar language elsewhere </w:t>
      </w:r>
      <w:r w:rsidR="00D55938">
        <w:t>in New Jersey statutes o</w:t>
      </w:r>
      <w:r w:rsidR="00513845">
        <w:t xml:space="preserve">r in </w:t>
      </w:r>
      <w:r w:rsidR="00BA0E8B">
        <w:t xml:space="preserve">relevant </w:t>
      </w:r>
      <w:r w:rsidR="00513845">
        <w:t>case law</w:t>
      </w:r>
      <w:r w:rsidR="00F453A6">
        <w:t xml:space="preserve">. </w:t>
      </w:r>
    </w:p>
    <w:p w:rsidR="00513845" w:rsidRDefault="00F453A6" w:rsidP="00FD7DA5">
      <w:pPr>
        <w:ind w:firstLine="720"/>
        <w:jc w:val="both"/>
      </w:pPr>
      <w:r>
        <w:t>As Commissioner H</w:t>
      </w:r>
      <w:r w:rsidR="00FD7DA5">
        <w:t>arnett identi</w:t>
      </w:r>
      <w:r w:rsidR="00513845">
        <w:t>fied, this language was originally proposed</w:t>
      </w:r>
      <w:r w:rsidR="00FD7DA5">
        <w:t xml:space="preserve"> to </w:t>
      </w:r>
      <w:r w:rsidR="00513845">
        <w:t>prevent the omission of other unidentified</w:t>
      </w:r>
      <w:r w:rsidR="00FD7DA5">
        <w:t xml:space="preserve"> tenanc</w:t>
      </w:r>
      <w:r w:rsidR="00513845">
        <w:t>y relationships.</w:t>
      </w:r>
      <w:r>
        <w:t xml:space="preserve"> </w:t>
      </w:r>
      <w:r w:rsidR="00F50DD0">
        <w:t xml:space="preserve">However, given the legislature’s strong interest in tax collection and the </w:t>
      </w:r>
      <w:r w:rsidR="002962BD">
        <w:t>judicial inclination to narrowly</w:t>
      </w:r>
      <w:r w:rsidR="00F50DD0">
        <w:t xml:space="preserve"> construe exemptions, it is</w:t>
      </w:r>
      <w:r>
        <w:t xml:space="preserve"> </w:t>
      </w:r>
      <w:r w:rsidR="002962BD">
        <w:t>likely advisable</w:t>
      </w:r>
      <w:r>
        <w:t xml:space="preserve"> to </w:t>
      </w:r>
      <w:r w:rsidR="00F50DD0">
        <w:t xml:space="preserve">be specific with the exemption and not include </w:t>
      </w:r>
      <w:r>
        <w:t>a catch</w:t>
      </w:r>
      <w:r w:rsidR="00FD7DA5">
        <w:t>-</w:t>
      </w:r>
      <w:r>
        <w:t>all that could be misinterpreted</w:t>
      </w:r>
      <w:r w:rsidR="00F50DD0">
        <w:t xml:space="preserve"> or exploited</w:t>
      </w:r>
      <w:r>
        <w:t xml:space="preserve">. </w:t>
      </w:r>
    </w:p>
    <w:p w:rsidR="0095117D" w:rsidRDefault="00513845" w:rsidP="00317A76">
      <w:pPr>
        <w:ind w:firstLine="720"/>
        <w:jc w:val="both"/>
      </w:pPr>
      <w:r>
        <w:t>Additionally, Staff has considered whether exemp</w:t>
      </w:r>
      <w:r w:rsidR="00317A76">
        <w:t>ting co-tenancies</w:t>
      </w:r>
      <w:r w:rsidR="0095117D">
        <w:t xml:space="preserve"> could </w:t>
      </w:r>
      <w:r w:rsidR="00317A76">
        <w:t xml:space="preserve">potentially </w:t>
      </w:r>
      <w:r w:rsidR="0095117D">
        <w:t>provide</w:t>
      </w:r>
      <w:r>
        <w:t xml:space="preserve"> a </w:t>
      </w:r>
      <w:r w:rsidR="0095117D">
        <w:t>“</w:t>
      </w:r>
      <w:r>
        <w:t>back-</w:t>
      </w:r>
      <w:r w:rsidR="0095117D">
        <w:t>door” exemption for partnership</w:t>
      </w:r>
      <w:r w:rsidR="00885FE3">
        <w:t xml:space="preserve">s — </w:t>
      </w:r>
      <w:r w:rsidR="002962BD">
        <w:t>in</w:t>
      </w:r>
      <w:r w:rsidR="00317A76">
        <w:t xml:space="preserve"> conflict with the </w:t>
      </w:r>
      <w:r>
        <w:t xml:space="preserve">express statutory provision </w:t>
      </w:r>
      <w:r w:rsidR="00F50DD0">
        <w:t xml:space="preserve">stating </w:t>
      </w:r>
      <w:r>
        <w:t xml:space="preserve">that partnerships are not exempt. </w:t>
      </w:r>
      <w:r w:rsidR="00317A76">
        <w:t>In addition to the legislative intent manifest in the statutory language, New Jersey courts have recognized that “</w:t>
      </w:r>
      <w:proofErr w:type="gramStart"/>
      <w:r w:rsidR="00317A76">
        <w:t>’[</w:t>
      </w:r>
      <w:proofErr w:type="gramEnd"/>
      <w:r w:rsidR="00317A76">
        <w:t>p]</w:t>
      </w:r>
      <w:proofErr w:type="spellStart"/>
      <w:r w:rsidR="00317A76">
        <w:t>artnership</w:t>
      </w:r>
      <w:proofErr w:type="spellEnd"/>
      <w:r w:rsidR="00317A76">
        <w:t xml:space="preserve">’ describes a kind of legal entity whereas the term ‘tenancy in common’ describes the </w:t>
      </w:r>
      <w:r w:rsidR="00BA0E8B">
        <w:t>form of property ownership and t</w:t>
      </w:r>
      <w:r w:rsidR="00317A76">
        <w:t>he two terms are not interchangeable.”</w:t>
      </w:r>
      <w:r w:rsidR="00317A76">
        <w:rPr>
          <w:rStyle w:val="FootnoteReference"/>
        </w:rPr>
        <w:footnoteReference w:id="1"/>
      </w:r>
      <w:r w:rsidR="00317A76">
        <w:t xml:space="preserve"> Given the express statutory language </w:t>
      </w:r>
      <w:r w:rsidR="00885FE3">
        <w:t xml:space="preserve">of 54:50-38 </w:t>
      </w:r>
      <w:r w:rsidR="00317A76">
        <w:t xml:space="preserve">regarding partnerships and the courts’ clear </w:t>
      </w:r>
      <w:r w:rsidR="002962BD">
        <w:t>differentiation of</w:t>
      </w:r>
      <w:r w:rsidR="00317A76">
        <w:t xml:space="preserve"> partnerships and co-tenancies, it does not appear that exempt</w:t>
      </w:r>
      <w:r w:rsidR="00F50DD0">
        <w:t>ing co-tenancies would disrupt the legislat</w:t>
      </w:r>
      <w:r w:rsidR="00AF488C">
        <w:t>ure’s determination</w:t>
      </w:r>
      <w:r w:rsidR="00F50DD0">
        <w:t xml:space="preserve"> </w:t>
      </w:r>
      <w:r w:rsidR="002962BD">
        <w:t xml:space="preserve">to </w:t>
      </w:r>
      <w:r w:rsidR="00AF488C">
        <w:t>subject</w:t>
      </w:r>
      <w:r w:rsidR="00885FE3">
        <w:t xml:space="preserve"> partnerships to the bulk sale tax notification requirements</w:t>
      </w:r>
      <w:r w:rsidR="00317A76">
        <w:t xml:space="preserve">.   </w:t>
      </w:r>
      <w:r w:rsidR="00603A98">
        <w:t xml:space="preserve"> </w:t>
      </w:r>
      <w:r>
        <w:t xml:space="preserve"> </w:t>
      </w:r>
      <w:r w:rsidR="00491373">
        <w:t xml:space="preserve"> </w:t>
      </w:r>
    </w:p>
    <w:p w:rsidR="00F453A6" w:rsidRDefault="00F453A6" w:rsidP="00FD7DA5">
      <w:pPr>
        <w:ind w:firstLine="720"/>
        <w:jc w:val="both"/>
      </w:pPr>
    </w:p>
    <w:sectPr w:rsidR="00F4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76" w:rsidRDefault="00317A76" w:rsidP="00317A76">
      <w:pPr>
        <w:spacing w:after="0" w:line="240" w:lineRule="auto"/>
      </w:pPr>
      <w:r>
        <w:separator/>
      </w:r>
    </w:p>
  </w:endnote>
  <w:endnote w:type="continuationSeparator" w:id="0">
    <w:p w:rsidR="00317A76" w:rsidRDefault="00317A76" w:rsidP="003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76" w:rsidRDefault="00317A76" w:rsidP="00317A76">
      <w:pPr>
        <w:spacing w:after="0" w:line="240" w:lineRule="auto"/>
      </w:pPr>
      <w:r>
        <w:separator/>
      </w:r>
    </w:p>
  </w:footnote>
  <w:footnote w:type="continuationSeparator" w:id="0">
    <w:p w:rsidR="00317A76" w:rsidRDefault="00317A76" w:rsidP="00317A76">
      <w:pPr>
        <w:spacing w:after="0" w:line="240" w:lineRule="auto"/>
      </w:pPr>
      <w:r>
        <w:continuationSeparator/>
      </w:r>
    </w:p>
  </w:footnote>
  <w:footnote w:id="1">
    <w:p w:rsidR="00317A76" w:rsidRPr="002962BD" w:rsidRDefault="00317A76">
      <w:pPr>
        <w:pStyle w:val="FootnoteText"/>
      </w:pPr>
      <w:r>
        <w:rPr>
          <w:rStyle w:val="FootnoteReference"/>
        </w:rPr>
        <w:footnoteRef/>
      </w:r>
      <w:proofErr w:type="spellStart"/>
      <w:r w:rsidRPr="002962BD">
        <w:rPr>
          <w:i/>
        </w:rPr>
        <w:t>Zimmerer</w:t>
      </w:r>
      <w:proofErr w:type="spellEnd"/>
      <w:r w:rsidRPr="002962BD">
        <w:rPr>
          <w:i/>
        </w:rPr>
        <w:t xml:space="preserve"> </w:t>
      </w:r>
      <w:r w:rsidR="002962BD" w:rsidRPr="002962BD">
        <w:rPr>
          <w:i/>
        </w:rPr>
        <w:t>v. Clayton</w:t>
      </w:r>
      <w:r w:rsidR="002962BD">
        <w:t xml:space="preserve">, 7 </w:t>
      </w:r>
      <w:proofErr w:type="spellStart"/>
      <w:r w:rsidR="002962BD">
        <w:t>N.J.Tax</w:t>
      </w:r>
      <w:proofErr w:type="spellEnd"/>
      <w:r w:rsidR="002962BD">
        <w:t xml:space="preserve"> 15, 22 (Tax 1984); </w:t>
      </w:r>
      <w:r w:rsidR="002962BD">
        <w:rPr>
          <w:i/>
        </w:rPr>
        <w:t>see also</w:t>
      </w:r>
      <w:r w:rsidR="002962BD">
        <w:t xml:space="preserve"> </w:t>
      </w:r>
      <w:r w:rsidR="002962BD" w:rsidRPr="002962BD">
        <w:rPr>
          <w:i/>
        </w:rPr>
        <w:t xml:space="preserve">Ginsberg v. </w:t>
      </w:r>
      <w:proofErr w:type="spellStart"/>
      <w:r w:rsidR="002962BD" w:rsidRPr="002962BD">
        <w:rPr>
          <w:i/>
        </w:rPr>
        <w:t>Bistricer</w:t>
      </w:r>
      <w:proofErr w:type="spellEnd"/>
      <w:r w:rsidR="002962BD">
        <w:t>, 2007 WL 987162 *18 (App. Div. 2007) (reiterating the distinction between partnerships and tenancies in common).</w:t>
      </w:r>
      <w:r w:rsidR="002962BD">
        <w:rPr>
          <w:i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08"/>
    <w:rsid w:val="002962BD"/>
    <w:rsid w:val="00317A76"/>
    <w:rsid w:val="00491373"/>
    <w:rsid w:val="00495B08"/>
    <w:rsid w:val="004C6FBD"/>
    <w:rsid w:val="00513845"/>
    <w:rsid w:val="00603A98"/>
    <w:rsid w:val="00885FE3"/>
    <w:rsid w:val="0095117D"/>
    <w:rsid w:val="00AF488C"/>
    <w:rsid w:val="00B01675"/>
    <w:rsid w:val="00BA0E8B"/>
    <w:rsid w:val="00C24B60"/>
    <w:rsid w:val="00C72A6F"/>
    <w:rsid w:val="00D32109"/>
    <w:rsid w:val="00D55938"/>
    <w:rsid w:val="00E1173D"/>
    <w:rsid w:val="00F453A6"/>
    <w:rsid w:val="00F50DD0"/>
    <w:rsid w:val="00FC195D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35342-5993-4EC2-B27C-824C2017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7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A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2457-B69E-410A-B308-3315C817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sthatch</dc:creator>
  <cp:lastModifiedBy>Laura Tharney</cp:lastModifiedBy>
  <cp:revision>2</cp:revision>
  <cp:lastPrinted>2016-02-04T18:00:00Z</cp:lastPrinted>
  <dcterms:created xsi:type="dcterms:W3CDTF">2016-02-04T18:54:00Z</dcterms:created>
  <dcterms:modified xsi:type="dcterms:W3CDTF">2016-02-04T18:54:00Z</dcterms:modified>
</cp:coreProperties>
</file>