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BA" w:rsidRDefault="00BC637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w:t>
      </w:r>
      <w:r>
        <w:rPr>
          <w:rFonts w:ascii="Times New Roman" w:hAnsi="Times New Roman" w:cs="Times New Roman"/>
          <w:b/>
          <w:sz w:val="24"/>
          <w:szCs w:val="24"/>
        </w:rPr>
        <w:tab/>
        <w:t>Commission</w:t>
      </w:r>
    </w:p>
    <w:p w:rsidR="00BC6377" w:rsidRDefault="00BC6377">
      <w:pPr>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Laura C. Tharney</w:t>
      </w:r>
    </w:p>
    <w:p w:rsidR="00BC6377" w:rsidRDefault="00BC6377">
      <w:pPr>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t>Meaning of “conviction” in N.J.S. 2C:7-2(f) (</w:t>
      </w:r>
      <w:r>
        <w:rPr>
          <w:rFonts w:ascii="Times New Roman" w:hAnsi="Times New Roman" w:cs="Times New Roman"/>
          <w:b/>
          <w:i/>
          <w:sz w:val="24"/>
          <w:szCs w:val="24"/>
        </w:rPr>
        <w:t>In re J.S.</w:t>
      </w:r>
      <w:r>
        <w:rPr>
          <w:rFonts w:ascii="Times New Roman" w:hAnsi="Times New Roman" w:cs="Times New Roman"/>
          <w:b/>
          <w:sz w:val="24"/>
          <w:szCs w:val="24"/>
        </w:rPr>
        <w:t>)</w:t>
      </w:r>
    </w:p>
    <w:p w:rsidR="00BC6377" w:rsidRDefault="00BC6377">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t>January 9, 2017</w:t>
      </w:r>
    </w:p>
    <w:p w:rsidR="00BC6377" w:rsidRDefault="00BC6377">
      <w:pPr>
        <w:rPr>
          <w:rFonts w:ascii="Times New Roman" w:hAnsi="Times New Roman" w:cs="Times New Roman"/>
          <w:sz w:val="24"/>
          <w:szCs w:val="24"/>
        </w:rPr>
      </w:pPr>
    </w:p>
    <w:p w:rsidR="00BC6377" w:rsidRDefault="00BC6377" w:rsidP="00BC6377">
      <w:pPr>
        <w:jc w:val="center"/>
        <w:rPr>
          <w:rFonts w:ascii="Times New Roman" w:hAnsi="Times New Roman" w:cs="Times New Roman"/>
          <w:sz w:val="24"/>
          <w:szCs w:val="24"/>
        </w:rPr>
      </w:pPr>
      <w:r>
        <w:rPr>
          <w:rFonts w:ascii="Times New Roman" w:hAnsi="Times New Roman" w:cs="Times New Roman"/>
          <w:b/>
          <w:sz w:val="24"/>
          <w:szCs w:val="24"/>
        </w:rPr>
        <w:t>M E M O R A N D U M</w:t>
      </w:r>
    </w:p>
    <w:p w:rsidR="00BC6377" w:rsidRDefault="00BC6377" w:rsidP="00BC6377">
      <w:pPr>
        <w:jc w:val="center"/>
        <w:rPr>
          <w:rFonts w:ascii="Times New Roman" w:hAnsi="Times New Roman" w:cs="Times New Roman"/>
          <w:sz w:val="24"/>
          <w:szCs w:val="24"/>
        </w:rPr>
      </w:pPr>
    </w:p>
    <w:p w:rsidR="00BC6377" w:rsidRDefault="00BC6377" w:rsidP="00BC6377">
      <w:pPr>
        <w:jc w:val="center"/>
        <w:rPr>
          <w:rFonts w:ascii="Times New Roman" w:hAnsi="Times New Roman" w:cs="Times New Roman"/>
          <w:sz w:val="24"/>
          <w:szCs w:val="24"/>
        </w:rPr>
      </w:pPr>
      <w:r>
        <w:rPr>
          <w:rFonts w:ascii="Times New Roman" w:hAnsi="Times New Roman" w:cs="Times New Roman"/>
          <w:b/>
          <w:sz w:val="24"/>
          <w:szCs w:val="24"/>
        </w:rPr>
        <w:t>Executive Summary</w:t>
      </w:r>
    </w:p>
    <w:p w:rsidR="00BC6377" w:rsidRDefault="00BC6377" w:rsidP="00BC6377">
      <w:pPr>
        <w:jc w:val="center"/>
        <w:rPr>
          <w:rFonts w:ascii="Times New Roman" w:hAnsi="Times New Roman" w:cs="Times New Roman"/>
          <w:sz w:val="24"/>
          <w:szCs w:val="24"/>
        </w:rPr>
      </w:pPr>
    </w:p>
    <w:p w:rsidR="00BC6377" w:rsidRDefault="00BC6377" w:rsidP="000B4B46">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case of </w:t>
      </w:r>
      <w:r>
        <w:rPr>
          <w:rFonts w:ascii="Times New Roman" w:hAnsi="Times New Roman" w:cs="Times New Roman"/>
          <w:i/>
          <w:sz w:val="24"/>
          <w:szCs w:val="24"/>
        </w:rPr>
        <w:t>In re J.S.</w:t>
      </w:r>
      <w:r>
        <w:rPr>
          <w:rStyle w:val="FootnoteReference"/>
          <w:rFonts w:ascii="Times New Roman" w:hAnsi="Times New Roman" w:cs="Times New Roman"/>
          <w:i/>
          <w:sz w:val="24"/>
          <w:szCs w:val="24"/>
        </w:rPr>
        <w:footnoteReference w:id="1"/>
      </w:r>
      <w:r>
        <w:rPr>
          <w:rFonts w:ascii="Times New Roman" w:hAnsi="Times New Roman" w:cs="Times New Roman"/>
          <w:sz w:val="24"/>
          <w:szCs w:val="24"/>
        </w:rPr>
        <w:t xml:space="preserve"> the Appellate Division considered whether the term “conviction” as used in N.J.S. 2C:7-2(f), refers to a plea of guilty, or </w:t>
      </w:r>
      <w:r w:rsidR="00997947">
        <w:rPr>
          <w:rFonts w:ascii="Times New Roman" w:hAnsi="Times New Roman" w:cs="Times New Roman"/>
          <w:sz w:val="24"/>
          <w:szCs w:val="24"/>
        </w:rPr>
        <w:t xml:space="preserve">to </w:t>
      </w:r>
      <w:r>
        <w:rPr>
          <w:rFonts w:ascii="Times New Roman" w:hAnsi="Times New Roman" w:cs="Times New Roman"/>
          <w:sz w:val="24"/>
          <w:szCs w:val="24"/>
        </w:rPr>
        <w:t xml:space="preserve">the entry of a judgment of conviction. </w:t>
      </w:r>
    </w:p>
    <w:p w:rsidR="00BC6377" w:rsidRDefault="00BC6377" w:rsidP="000B4B46">
      <w:pPr>
        <w:spacing w:line="276" w:lineRule="auto"/>
        <w:jc w:val="both"/>
        <w:rPr>
          <w:rFonts w:ascii="Times New Roman" w:hAnsi="Times New Roman" w:cs="Times New Roman"/>
          <w:sz w:val="24"/>
          <w:szCs w:val="24"/>
        </w:rPr>
      </w:pPr>
    </w:p>
    <w:p w:rsidR="00BC6377" w:rsidRDefault="00BC6377" w:rsidP="000B4B46">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determined that </w:t>
      </w:r>
      <w:r w:rsidR="00256792">
        <w:rPr>
          <w:rFonts w:ascii="Times New Roman" w:hAnsi="Times New Roman" w:cs="Times New Roman"/>
          <w:sz w:val="24"/>
          <w:szCs w:val="24"/>
        </w:rPr>
        <w:t xml:space="preserve">“conviction”, in that section of the statute, referred to the judgment of conviction, rather than to </w:t>
      </w:r>
      <w:r w:rsidR="00F40849">
        <w:rPr>
          <w:rFonts w:ascii="Times New Roman" w:hAnsi="Times New Roman" w:cs="Times New Roman"/>
          <w:sz w:val="24"/>
          <w:szCs w:val="24"/>
        </w:rPr>
        <w:t>the</w:t>
      </w:r>
      <w:r w:rsidR="00256792">
        <w:rPr>
          <w:rFonts w:ascii="Times New Roman" w:hAnsi="Times New Roman" w:cs="Times New Roman"/>
          <w:sz w:val="24"/>
          <w:szCs w:val="24"/>
        </w:rPr>
        <w:t xml:space="preserve"> plea of guilty.  In doing so, the Court suggested that “exacting precision in drafting statutes would obviate the need for judicial interpretation” and noted that </w:t>
      </w:r>
      <w:r w:rsidR="00F40849">
        <w:rPr>
          <w:rFonts w:ascii="Times New Roman" w:hAnsi="Times New Roman" w:cs="Times New Roman"/>
          <w:sz w:val="24"/>
          <w:szCs w:val="24"/>
        </w:rPr>
        <w:t>the issue on appeal was “</w:t>
      </w:r>
      <w:r w:rsidR="00F40849" w:rsidRPr="00F40849">
        <w:rPr>
          <w:rFonts w:ascii="Times New Roman" w:hAnsi="Times New Roman" w:cs="Times New Roman"/>
          <w:sz w:val="24"/>
          <w:szCs w:val="24"/>
        </w:rPr>
        <w:t>an important matter of public interest and capable of repetition warranting our review</w:t>
      </w:r>
      <w:r w:rsidR="00F40849">
        <w:rPr>
          <w:rFonts w:ascii="Times New Roman" w:hAnsi="Times New Roman" w:cs="Times New Roman"/>
          <w:sz w:val="24"/>
          <w:szCs w:val="24"/>
        </w:rPr>
        <w:t>.”</w:t>
      </w:r>
      <w:r w:rsidR="00F40849">
        <w:rPr>
          <w:rStyle w:val="FootnoteReference"/>
          <w:rFonts w:ascii="Times New Roman" w:hAnsi="Times New Roman" w:cs="Times New Roman"/>
          <w:sz w:val="24"/>
          <w:szCs w:val="24"/>
        </w:rPr>
        <w:footnoteReference w:id="2"/>
      </w:r>
    </w:p>
    <w:p w:rsidR="00F40849" w:rsidRDefault="00F40849" w:rsidP="000B4B46">
      <w:pPr>
        <w:spacing w:line="276" w:lineRule="auto"/>
        <w:jc w:val="both"/>
        <w:rPr>
          <w:rFonts w:ascii="Times New Roman" w:hAnsi="Times New Roman" w:cs="Times New Roman"/>
          <w:sz w:val="24"/>
          <w:szCs w:val="24"/>
        </w:rPr>
      </w:pPr>
    </w:p>
    <w:p w:rsidR="00F40849" w:rsidRDefault="00F40849" w:rsidP="000B4B46">
      <w:pPr>
        <w:spacing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rsidR="00F40849" w:rsidRDefault="00F40849" w:rsidP="000B4B46">
      <w:pPr>
        <w:spacing w:line="276" w:lineRule="auto"/>
        <w:jc w:val="both"/>
        <w:rPr>
          <w:rFonts w:ascii="Times New Roman" w:hAnsi="Times New Roman" w:cs="Times New Roman"/>
          <w:sz w:val="24"/>
          <w:szCs w:val="24"/>
        </w:rPr>
      </w:pPr>
    </w:p>
    <w:p w:rsidR="00A3346F" w:rsidRDefault="00F40849" w:rsidP="000B4B46">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3864BD">
        <w:rPr>
          <w:rFonts w:ascii="Times New Roman" w:hAnsi="Times New Roman" w:cs="Times New Roman"/>
          <w:sz w:val="24"/>
          <w:szCs w:val="24"/>
        </w:rPr>
        <w:t>The issue in the case was when the clock started running</w:t>
      </w:r>
      <w:r w:rsidR="00A3346F">
        <w:rPr>
          <w:rFonts w:ascii="Times New Roman" w:hAnsi="Times New Roman" w:cs="Times New Roman"/>
          <w:sz w:val="24"/>
          <w:szCs w:val="24"/>
        </w:rPr>
        <w:t xml:space="preserve"> for purposes of the 15</w:t>
      </w:r>
      <w:r w:rsidR="00C33C45">
        <w:rPr>
          <w:rFonts w:ascii="Times New Roman" w:hAnsi="Times New Roman" w:cs="Times New Roman"/>
          <w:sz w:val="24"/>
          <w:szCs w:val="24"/>
        </w:rPr>
        <w:t>-</w:t>
      </w:r>
      <w:r w:rsidR="00A3346F">
        <w:rPr>
          <w:rFonts w:ascii="Times New Roman" w:hAnsi="Times New Roman" w:cs="Times New Roman"/>
          <w:sz w:val="24"/>
          <w:szCs w:val="24"/>
        </w:rPr>
        <w:t>year time period set forth in N.J.S. 2C:7-2(f). That statutory section provides that “</w:t>
      </w:r>
      <w:r w:rsidR="00A3346F" w:rsidRPr="00A3346F">
        <w:rPr>
          <w:rFonts w:ascii="Times New Roman" w:eastAsia="Times New Roman" w:hAnsi="Times New Roman" w:cs="Times New Roman"/>
          <w:sz w:val="24"/>
          <w:szCs w:val="24"/>
        </w:rPr>
        <w:t xml:space="preserve">a person required to register under this act may make application to the Superior Court of this State to terminate the obligation upon proof that the person has not committed an offense within 15 years following </w:t>
      </w:r>
      <w:r w:rsidR="00A3346F" w:rsidRPr="00A3346F">
        <w:rPr>
          <w:rFonts w:ascii="Times New Roman" w:eastAsia="Times New Roman" w:hAnsi="Times New Roman" w:cs="Times New Roman"/>
          <w:i/>
          <w:sz w:val="24"/>
          <w:szCs w:val="24"/>
        </w:rPr>
        <w:t>conviction</w:t>
      </w:r>
      <w:r w:rsidR="00A3346F" w:rsidRPr="00A3346F">
        <w:rPr>
          <w:rFonts w:ascii="Times New Roman" w:eastAsia="Times New Roman" w:hAnsi="Times New Roman" w:cs="Times New Roman"/>
          <w:sz w:val="24"/>
          <w:szCs w:val="24"/>
        </w:rPr>
        <w:t xml:space="preserve"> or release from a correctional facility for any term of imprisonment imposed, whichever is later, and is not likely to pose a threat to the safety of others.</w:t>
      </w:r>
      <w:r w:rsidR="00A3346F">
        <w:rPr>
          <w:rFonts w:ascii="Times New Roman" w:eastAsia="Times New Roman" w:hAnsi="Times New Roman" w:cs="Times New Roman"/>
          <w:sz w:val="24"/>
          <w:szCs w:val="24"/>
        </w:rPr>
        <w:t xml:space="preserve"> [</w:t>
      </w:r>
      <w:proofErr w:type="gramStart"/>
      <w:r w:rsidR="00A3346F">
        <w:rPr>
          <w:rFonts w:ascii="Times New Roman" w:eastAsia="Times New Roman" w:hAnsi="Times New Roman" w:cs="Times New Roman"/>
          <w:sz w:val="24"/>
          <w:szCs w:val="24"/>
        </w:rPr>
        <w:t>emphasis</w:t>
      </w:r>
      <w:proofErr w:type="gramEnd"/>
      <w:r w:rsidR="00A3346F">
        <w:rPr>
          <w:rFonts w:ascii="Times New Roman" w:eastAsia="Times New Roman" w:hAnsi="Times New Roman" w:cs="Times New Roman"/>
          <w:sz w:val="24"/>
          <w:szCs w:val="24"/>
        </w:rPr>
        <w:t xml:space="preserve"> added]”</w:t>
      </w:r>
      <w:r w:rsidR="00A3346F">
        <w:rPr>
          <w:rStyle w:val="FootnoteReference"/>
          <w:rFonts w:ascii="Times New Roman" w:eastAsia="Times New Roman" w:hAnsi="Times New Roman" w:cs="Times New Roman"/>
          <w:sz w:val="24"/>
          <w:szCs w:val="24"/>
        </w:rPr>
        <w:footnoteReference w:id="3"/>
      </w:r>
      <w:r w:rsidR="00A3346F">
        <w:rPr>
          <w:rFonts w:ascii="Times New Roman" w:eastAsia="Times New Roman" w:hAnsi="Times New Roman" w:cs="Times New Roman"/>
          <w:sz w:val="24"/>
          <w:szCs w:val="24"/>
        </w:rPr>
        <w:t xml:space="preserve"> </w:t>
      </w:r>
    </w:p>
    <w:p w:rsidR="00A3346F" w:rsidRDefault="00A3346F" w:rsidP="000B4B46">
      <w:pPr>
        <w:spacing w:line="276" w:lineRule="auto"/>
        <w:jc w:val="both"/>
        <w:rPr>
          <w:rFonts w:ascii="Times New Roman" w:eastAsia="Times New Roman" w:hAnsi="Times New Roman" w:cs="Times New Roman"/>
          <w:sz w:val="24"/>
          <w:szCs w:val="24"/>
        </w:rPr>
      </w:pPr>
    </w:p>
    <w:p w:rsidR="00A3346F" w:rsidRDefault="00A3346F" w:rsidP="000B4B4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defendant in </w:t>
      </w:r>
      <w:r>
        <w:rPr>
          <w:rFonts w:ascii="Times New Roman" w:eastAsia="Times New Roman" w:hAnsi="Times New Roman" w:cs="Times New Roman"/>
          <w:i/>
          <w:sz w:val="24"/>
          <w:szCs w:val="24"/>
        </w:rPr>
        <w:t>In re J.S.</w:t>
      </w:r>
      <w:r>
        <w:rPr>
          <w:rFonts w:ascii="Times New Roman" w:eastAsia="Times New Roman" w:hAnsi="Times New Roman" w:cs="Times New Roman"/>
          <w:sz w:val="24"/>
          <w:szCs w:val="24"/>
        </w:rPr>
        <w:t xml:space="preserve"> pled guilty on January 14, 2000 to </w:t>
      </w:r>
      <w:r w:rsidRPr="00A3346F">
        <w:rPr>
          <w:rFonts w:ascii="Times New Roman" w:eastAsia="Times New Roman" w:hAnsi="Times New Roman" w:cs="Times New Roman"/>
          <w:sz w:val="24"/>
          <w:szCs w:val="24"/>
        </w:rPr>
        <w:t xml:space="preserve">two counts of third-degree </w:t>
      </w:r>
      <w:proofErr w:type="gramStart"/>
      <w:r w:rsidRPr="00A3346F">
        <w:rPr>
          <w:rFonts w:ascii="Times New Roman" w:eastAsia="Times New Roman" w:hAnsi="Times New Roman" w:cs="Times New Roman"/>
          <w:sz w:val="24"/>
          <w:szCs w:val="24"/>
        </w:rPr>
        <w:t>aggravated</w:t>
      </w:r>
      <w:proofErr w:type="gramEnd"/>
      <w:r w:rsidRPr="00A3346F">
        <w:rPr>
          <w:rFonts w:ascii="Times New Roman" w:eastAsia="Times New Roman" w:hAnsi="Times New Roman" w:cs="Times New Roman"/>
          <w:sz w:val="24"/>
          <w:szCs w:val="24"/>
        </w:rPr>
        <w:t xml:space="preserve"> criminal sexual contact</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His sentence was imposed on November 13, 2000.</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In early 2015, the defendant sought the termination of his obligations pursuant to Megan’s Law and community supervision for life (CSL) pursuant to </w:t>
      </w:r>
      <w:r w:rsidRPr="00A3346F">
        <w:rPr>
          <w:rFonts w:ascii="Times New Roman" w:eastAsia="Times New Roman" w:hAnsi="Times New Roman" w:cs="Times New Roman"/>
          <w:sz w:val="24"/>
          <w:szCs w:val="24"/>
        </w:rPr>
        <w:t>N.J.S. 2C:7-2(f)</w:t>
      </w:r>
      <w:r>
        <w:rPr>
          <w:rFonts w:ascii="Times New Roman" w:eastAsia="Times New Roman" w:hAnsi="Times New Roman" w:cs="Times New Roman"/>
          <w:sz w:val="24"/>
          <w:szCs w:val="24"/>
        </w:rPr>
        <w:t xml:space="preserve">. </w:t>
      </w:r>
    </w:p>
    <w:p w:rsidR="00EA4AF7" w:rsidRDefault="00EA4AF7" w:rsidP="000B4B46">
      <w:pPr>
        <w:spacing w:line="276" w:lineRule="auto"/>
        <w:jc w:val="both"/>
        <w:rPr>
          <w:rFonts w:ascii="Times New Roman" w:eastAsia="Times New Roman" w:hAnsi="Times New Roman" w:cs="Times New Roman"/>
          <w:sz w:val="24"/>
          <w:szCs w:val="24"/>
        </w:rPr>
      </w:pPr>
    </w:p>
    <w:p w:rsidR="00EA4AF7" w:rsidRDefault="00EA4AF7" w:rsidP="000B4B4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State agreed that the defendant met all of the requirements except for the running of the 15</w:t>
      </w:r>
      <w:r w:rsidR="00C33C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year time period. In response, the defendant argued that the clock started running on the day that he pled guilty and, as a result, </w:t>
      </w:r>
      <w:r w:rsidR="00C33C45">
        <w:rPr>
          <w:rFonts w:ascii="Times New Roman" w:eastAsia="Times New Roman" w:hAnsi="Times New Roman" w:cs="Times New Roman"/>
          <w:sz w:val="24"/>
          <w:szCs w:val="24"/>
        </w:rPr>
        <w:t>the required period had elapsed</w:t>
      </w:r>
      <w:r>
        <w:rPr>
          <w:rFonts w:ascii="Times New Roman" w:eastAsia="Times New Roman" w:hAnsi="Times New Roman" w:cs="Times New Roman"/>
          <w:sz w:val="24"/>
          <w:szCs w:val="24"/>
        </w:rPr>
        <w:t xml:space="preserve"> by the time he filed his application.</w:t>
      </w:r>
      <w:r>
        <w:rPr>
          <w:rStyle w:val="FootnoteReference"/>
          <w:rFonts w:ascii="Times New Roman" w:eastAsia="Times New Roman" w:hAnsi="Times New Roman" w:cs="Times New Roman"/>
          <w:sz w:val="24"/>
          <w:szCs w:val="24"/>
        </w:rPr>
        <w:footnoteReference w:id="6"/>
      </w:r>
    </w:p>
    <w:p w:rsidR="00C339F4" w:rsidRDefault="00C339F4" w:rsidP="000B4B46">
      <w:pPr>
        <w:spacing w:line="276" w:lineRule="auto"/>
        <w:jc w:val="both"/>
        <w:rPr>
          <w:rFonts w:ascii="Times New Roman" w:eastAsia="Times New Roman" w:hAnsi="Times New Roman" w:cs="Times New Roman"/>
          <w:sz w:val="24"/>
          <w:szCs w:val="24"/>
        </w:rPr>
      </w:pPr>
    </w:p>
    <w:p w:rsidR="0013610D" w:rsidRDefault="00C339F4" w:rsidP="000B4B4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judge accepted the position of the defendant, and terminated </w:t>
      </w:r>
      <w:r w:rsidR="007B1B3E">
        <w:rPr>
          <w:rFonts w:ascii="Times New Roman" w:eastAsia="Times New Roman" w:hAnsi="Times New Roman" w:cs="Times New Roman"/>
          <w:sz w:val="24"/>
          <w:szCs w:val="24"/>
        </w:rPr>
        <w:t xml:space="preserve">the defendant’s </w:t>
      </w:r>
      <w:r>
        <w:rPr>
          <w:rFonts w:ascii="Times New Roman" w:eastAsia="Times New Roman" w:hAnsi="Times New Roman" w:cs="Times New Roman"/>
          <w:sz w:val="24"/>
          <w:szCs w:val="24"/>
        </w:rPr>
        <w:t>obligations pursuant to Megan’s Law and CSL.</w:t>
      </w:r>
      <w:r>
        <w:rPr>
          <w:rStyle w:val="FootnoteReference"/>
          <w:rFonts w:ascii="Times New Roman" w:eastAsia="Times New Roman" w:hAnsi="Times New Roman" w:cs="Times New Roman"/>
          <w:sz w:val="24"/>
          <w:szCs w:val="24"/>
        </w:rPr>
        <w:footnoteReference w:id="7"/>
      </w:r>
      <w:r w:rsidR="0013610D">
        <w:rPr>
          <w:rFonts w:ascii="Times New Roman" w:eastAsia="Times New Roman" w:hAnsi="Times New Roman" w:cs="Times New Roman"/>
          <w:sz w:val="24"/>
          <w:szCs w:val="24"/>
        </w:rPr>
        <w:t xml:space="preserve"> In doing so, the judge relied on the case of </w:t>
      </w:r>
      <w:r w:rsidR="0013610D" w:rsidRPr="0013610D">
        <w:rPr>
          <w:rFonts w:ascii="Times New Roman" w:eastAsia="Times New Roman" w:hAnsi="Times New Roman" w:cs="Times New Roman"/>
          <w:i/>
          <w:iCs/>
          <w:sz w:val="24"/>
          <w:szCs w:val="24"/>
        </w:rPr>
        <w:t>State v. Baker</w:t>
      </w:r>
      <w:r w:rsidR="000B4B46">
        <w:rPr>
          <w:rStyle w:val="FootnoteReference"/>
          <w:rFonts w:ascii="Times New Roman" w:eastAsia="Times New Roman" w:hAnsi="Times New Roman" w:cs="Times New Roman"/>
          <w:i/>
          <w:iCs/>
          <w:sz w:val="24"/>
          <w:szCs w:val="24"/>
        </w:rPr>
        <w:footnoteReference w:id="8"/>
      </w:r>
      <w:r w:rsidR="0013610D" w:rsidRPr="0013610D">
        <w:rPr>
          <w:rFonts w:ascii="Times New Roman" w:eastAsia="Times New Roman" w:hAnsi="Times New Roman" w:cs="Times New Roman"/>
          <w:sz w:val="24"/>
          <w:szCs w:val="24"/>
        </w:rPr>
        <w:t xml:space="preserve"> </w:t>
      </w:r>
      <w:r w:rsidR="0013610D">
        <w:rPr>
          <w:rFonts w:ascii="Times New Roman" w:eastAsia="Times New Roman" w:hAnsi="Times New Roman" w:cs="Times New Roman"/>
          <w:sz w:val="24"/>
          <w:szCs w:val="24"/>
        </w:rPr>
        <w:t xml:space="preserve">in which the Court had </w:t>
      </w:r>
      <w:r w:rsidR="0013610D" w:rsidRPr="0013610D">
        <w:rPr>
          <w:rFonts w:ascii="Times New Roman" w:eastAsia="Times New Roman" w:hAnsi="Times New Roman" w:cs="Times New Roman"/>
          <w:sz w:val="24"/>
          <w:szCs w:val="24"/>
        </w:rPr>
        <w:t xml:space="preserve">distinguished “conviction” from “judgment” when reviewing the predecessor statute to </w:t>
      </w:r>
      <w:r w:rsidR="0013610D" w:rsidRPr="0013610D">
        <w:rPr>
          <w:rFonts w:ascii="Times New Roman" w:eastAsia="Times New Roman" w:hAnsi="Times New Roman" w:cs="Times New Roman"/>
          <w:iCs/>
          <w:sz w:val="24"/>
          <w:szCs w:val="24"/>
        </w:rPr>
        <w:t>N.J.R.E.</w:t>
      </w:r>
      <w:r w:rsidR="0013610D" w:rsidRPr="0013610D">
        <w:rPr>
          <w:rFonts w:ascii="Times New Roman" w:eastAsia="Times New Roman" w:hAnsi="Times New Roman" w:cs="Times New Roman"/>
          <w:sz w:val="24"/>
          <w:szCs w:val="24"/>
        </w:rPr>
        <w:t xml:space="preserve"> 609.</w:t>
      </w:r>
      <w:r w:rsidR="0013610D">
        <w:rPr>
          <w:rStyle w:val="FootnoteReference"/>
          <w:rFonts w:ascii="Times New Roman" w:eastAsia="Times New Roman" w:hAnsi="Times New Roman" w:cs="Times New Roman"/>
          <w:sz w:val="24"/>
          <w:szCs w:val="24"/>
        </w:rPr>
        <w:footnoteReference w:id="9"/>
      </w:r>
      <w:r w:rsidR="000B4B46">
        <w:rPr>
          <w:rFonts w:ascii="Times New Roman" w:eastAsia="Times New Roman" w:hAnsi="Times New Roman" w:cs="Times New Roman"/>
          <w:sz w:val="24"/>
          <w:szCs w:val="24"/>
        </w:rPr>
        <w:t xml:space="preserve"> In that earlier case, the Court</w:t>
      </w:r>
      <w:r w:rsidR="003566FF">
        <w:rPr>
          <w:rFonts w:ascii="Times New Roman" w:eastAsia="Times New Roman" w:hAnsi="Times New Roman" w:cs="Times New Roman"/>
          <w:sz w:val="24"/>
          <w:szCs w:val="24"/>
        </w:rPr>
        <w:t xml:space="preserve"> said that the ordinary, </w:t>
      </w:r>
      <w:r w:rsidR="000B4B46">
        <w:rPr>
          <w:rFonts w:ascii="Times New Roman" w:eastAsia="Times New Roman" w:hAnsi="Times New Roman" w:cs="Times New Roman"/>
          <w:sz w:val="24"/>
          <w:szCs w:val="24"/>
        </w:rPr>
        <w:t>“</w:t>
      </w:r>
      <w:r w:rsidR="000B4B46" w:rsidRPr="000B4B46">
        <w:rPr>
          <w:rFonts w:ascii="Times New Roman" w:eastAsia="Times New Roman" w:hAnsi="Times New Roman" w:cs="Times New Roman"/>
          <w:sz w:val="24"/>
          <w:szCs w:val="24"/>
        </w:rPr>
        <w:t>legal meaning of conviction</w:t>
      </w:r>
      <w:r w:rsidR="003566FF">
        <w:rPr>
          <w:rFonts w:ascii="Times New Roman" w:eastAsia="Times New Roman" w:hAnsi="Times New Roman" w:cs="Times New Roman"/>
          <w:sz w:val="24"/>
          <w:szCs w:val="24"/>
        </w:rPr>
        <w:t>…</w:t>
      </w:r>
      <w:r w:rsidR="000B4B46" w:rsidRPr="000B4B46">
        <w:rPr>
          <w:rFonts w:ascii="Times New Roman" w:eastAsia="Times New Roman" w:hAnsi="Times New Roman" w:cs="Times New Roman"/>
          <w:i/>
          <w:iCs/>
          <w:sz w:val="24"/>
          <w:szCs w:val="24"/>
        </w:rPr>
        <w:t>is the confession of the accused in open court,</w:t>
      </w:r>
      <w:r w:rsidR="000B4B46" w:rsidRPr="000B4B46">
        <w:rPr>
          <w:rFonts w:ascii="Times New Roman" w:eastAsia="Times New Roman" w:hAnsi="Times New Roman" w:cs="Times New Roman"/>
          <w:sz w:val="24"/>
          <w:szCs w:val="24"/>
        </w:rPr>
        <w:t xml:space="preserve"> or the verdict returned against him by the jury</w:t>
      </w:r>
      <w:r w:rsidR="003566FF">
        <w:rPr>
          <w:rFonts w:ascii="Times New Roman" w:eastAsia="Times New Roman" w:hAnsi="Times New Roman" w:cs="Times New Roman"/>
          <w:sz w:val="24"/>
          <w:szCs w:val="24"/>
        </w:rPr>
        <w:t>…</w:t>
      </w:r>
      <w:r w:rsidR="000B4B46" w:rsidRPr="000B4B46">
        <w:rPr>
          <w:rFonts w:ascii="Times New Roman" w:eastAsia="Times New Roman" w:hAnsi="Times New Roman" w:cs="Times New Roman"/>
          <w:sz w:val="24"/>
          <w:szCs w:val="24"/>
        </w:rPr>
        <w:t>while ‘judgment’ or ‘sentence’ is the appropriate word to denote the action of the court</w:t>
      </w:r>
      <w:r w:rsidR="003566FF">
        <w:rPr>
          <w:rFonts w:ascii="Times New Roman" w:eastAsia="Times New Roman" w:hAnsi="Times New Roman" w:cs="Times New Roman"/>
          <w:sz w:val="24"/>
          <w:szCs w:val="24"/>
        </w:rPr>
        <w:t>.”</w:t>
      </w:r>
      <w:r w:rsidR="00601A40">
        <w:rPr>
          <w:rStyle w:val="FootnoteReference"/>
          <w:rFonts w:ascii="Times New Roman" w:eastAsia="Times New Roman" w:hAnsi="Times New Roman" w:cs="Times New Roman"/>
          <w:sz w:val="24"/>
          <w:szCs w:val="24"/>
        </w:rPr>
        <w:footnoteReference w:id="10"/>
      </w:r>
    </w:p>
    <w:p w:rsidR="0013610D" w:rsidRDefault="0013610D" w:rsidP="00A3346F">
      <w:pPr>
        <w:spacing w:line="276" w:lineRule="auto"/>
        <w:rPr>
          <w:rFonts w:ascii="Times New Roman" w:eastAsia="Times New Roman" w:hAnsi="Times New Roman" w:cs="Times New Roman"/>
          <w:sz w:val="24"/>
          <w:szCs w:val="24"/>
        </w:rPr>
      </w:pPr>
    </w:p>
    <w:p w:rsidR="0013610D" w:rsidRDefault="00975EB6" w:rsidP="00485E5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making its determination, the Appellate Division in </w:t>
      </w:r>
      <w:r>
        <w:rPr>
          <w:rFonts w:ascii="Times New Roman" w:eastAsia="Times New Roman" w:hAnsi="Times New Roman" w:cs="Times New Roman"/>
          <w:i/>
          <w:sz w:val="24"/>
          <w:szCs w:val="24"/>
        </w:rPr>
        <w:t>J.S.</w:t>
      </w:r>
      <w:r>
        <w:rPr>
          <w:rFonts w:ascii="Times New Roman" w:eastAsia="Times New Roman" w:hAnsi="Times New Roman" w:cs="Times New Roman"/>
          <w:sz w:val="24"/>
          <w:szCs w:val="24"/>
        </w:rPr>
        <w:t xml:space="preserve"> considered the context of the term under consideration</w:t>
      </w:r>
      <w:r w:rsidR="00BF1AC9">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1"/>
      </w:r>
      <w:r w:rsidR="00BF1AC9">
        <w:rPr>
          <w:rFonts w:ascii="Times New Roman" w:eastAsia="Times New Roman" w:hAnsi="Times New Roman" w:cs="Times New Roman"/>
          <w:sz w:val="24"/>
          <w:szCs w:val="24"/>
        </w:rPr>
        <w:t xml:space="preserve"> and </w:t>
      </w:r>
      <w:r w:rsidR="0074698C">
        <w:rPr>
          <w:rFonts w:ascii="Times New Roman" w:eastAsia="Times New Roman" w:hAnsi="Times New Roman" w:cs="Times New Roman"/>
          <w:sz w:val="24"/>
          <w:szCs w:val="24"/>
        </w:rPr>
        <w:t xml:space="preserve">explained </w:t>
      </w:r>
      <w:r w:rsidR="00BF1AC9">
        <w:rPr>
          <w:rFonts w:ascii="Times New Roman" w:eastAsia="Times New Roman" w:hAnsi="Times New Roman" w:cs="Times New Roman"/>
          <w:sz w:val="24"/>
          <w:szCs w:val="24"/>
        </w:rPr>
        <w:t xml:space="preserve">that when a term is subject to differing interpretations, it should be interpreted in such a way as to further the general purposes of the Criminal Code (which was adopted </w:t>
      </w:r>
      <w:r w:rsidR="00BF1AC9">
        <w:rPr>
          <w:rFonts w:ascii="Times New Roman" w:eastAsia="Times New Roman" w:hAnsi="Times New Roman" w:cs="Times New Roman"/>
          <w:i/>
          <w:sz w:val="24"/>
          <w:szCs w:val="24"/>
        </w:rPr>
        <w:t>after</w:t>
      </w:r>
      <w:r w:rsidR="00BF1AC9">
        <w:rPr>
          <w:rFonts w:ascii="Times New Roman" w:eastAsia="Times New Roman" w:hAnsi="Times New Roman" w:cs="Times New Roman"/>
          <w:sz w:val="24"/>
          <w:szCs w:val="24"/>
        </w:rPr>
        <w:t xml:space="preserve"> the case on which the defendant relied) </w:t>
      </w:r>
      <w:r w:rsidR="00112104">
        <w:rPr>
          <w:rFonts w:ascii="Times New Roman" w:eastAsia="Times New Roman" w:hAnsi="Times New Roman" w:cs="Times New Roman"/>
          <w:sz w:val="24"/>
          <w:szCs w:val="24"/>
        </w:rPr>
        <w:t>and</w:t>
      </w:r>
      <w:r w:rsidR="00BF1AC9">
        <w:rPr>
          <w:rFonts w:ascii="Times New Roman" w:eastAsia="Times New Roman" w:hAnsi="Times New Roman" w:cs="Times New Roman"/>
          <w:sz w:val="24"/>
          <w:szCs w:val="24"/>
        </w:rPr>
        <w:t xml:space="preserve"> the purposes of the particular provision in issue.</w:t>
      </w:r>
      <w:r w:rsidR="00BF1AC9">
        <w:rPr>
          <w:rStyle w:val="FootnoteReference"/>
          <w:rFonts w:ascii="Times New Roman" w:eastAsia="Times New Roman" w:hAnsi="Times New Roman" w:cs="Times New Roman"/>
          <w:sz w:val="24"/>
          <w:szCs w:val="24"/>
        </w:rPr>
        <w:footnoteReference w:id="12"/>
      </w:r>
      <w:r w:rsidR="00166504">
        <w:rPr>
          <w:rFonts w:ascii="Times New Roman" w:eastAsia="Times New Roman" w:hAnsi="Times New Roman" w:cs="Times New Roman"/>
          <w:sz w:val="24"/>
          <w:szCs w:val="24"/>
        </w:rPr>
        <w:t xml:space="preserve"> The Court also looked to the history and purpose of Megan’s Law</w:t>
      </w:r>
      <w:r w:rsidR="0074698C">
        <w:rPr>
          <w:rFonts w:ascii="Times New Roman" w:eastAsia="Times New Roman" w:hAnsi="Times New Roman" w:cs="Times New Roman"/>
          <w:sz w:val="24"/>
          <w:szCs w:val="24"/>
        </w:rPr>
        <w:t xml:space="preserve"> and </w:t>
      </w:r>
      <w:r w:rsidR="00166504">
        <w:rPr>
          <w:rFonts w:ascii="Times New Roman" w:eastAsia="Times New Roman" w:hAnsi="Times New Roman" w:cs="Times New Roman"/>
          <w:sz w:val="24"/>
          <w:szCs w:val="24"/>
        </w:rPr>
        <w:t>not</w:t>
      </w:r>
      <w:r w:rsidR="0074698C">
        <w:rPr>
          <w:rFonts w:ascii="Times New Roman" w:eastAsia="Times New Roman" w:hAnsi="Times New Roman" w:cs="Times New Roman"/>
          <w:sz w:val="24"/>
          <w:szCs w:val="24"/>
        </w:rPr>
        <w:t>ed</w:t>
      </w:r>
      <w:r w:rsidR="00166504">
        <w:rPr>
          <w:rFonts w:ascii="Times New Roman" w:eastAsia="Times New Roman" w:hAnsi="Times New Roman" w:cs="Times New Roman"/>
          <w:sz w:val="24"/>
          <w:szCs w:val="24"/>
        </w:rPr>
        <w:t xml:space="preserve"> that the “</w:t>
      </w:r>
      <w:r w:rsidR="00166504" w:rsidRPr="00166504">
        <w:rPr>
          <w:rFonts w:ascii="Times New Roman" w:eastAsia="Times New Roman" w:hAnsi="Times New Roman" w:cs="Times New Roman"/>
          <w:sz w:val="24"/>
          <w:szCs w:val="24"/>
        </w:rPr>
        <w:t>registration requirements of Megan’s Law, as well as related legislation adopted at the same time, including CSL, are imposed at sentencing</w:t>
      </w:r>
      <w:r w:rsidR="00166504">
        <w:rPr>
          <w:rFonts w:ascii="Times New Roman" w:eastAsia="Times New Roman" w:hAnsi="Times New Roman" w:cs="Times New Roman"/>
          <w:sz w:val="24"/>
          <w:szCs w:val="24"/>
        </w:rPr>
        <w:t>.”</w:t>
      </w:r>
      <w:r w:rsidR="00AB4E28">
        <w:rPr>
          <w:rStyle w:val="FootnoteReference"/>
          <w:rFonts w:ascii="Times New Roman" w:eastAsia="Times New Roman" w:hAnsi="Times New Roman" w:cs="Times New Roman"/>
          <w:sz w:val="24"/>
          <w:szCs w:val="24"/>
        </w:rPr>
        <w:footnoteReference w:id="13"/>
      </w:r>
    </w:p>
    <w:p w:rsidR="00AB4E28" w:rsidRDefault="00AB4E28" w:rsidP="00485E54">
      <w:pPr>
        <w:spacing w:line="276" w:lineRule="auto"/>
        <w:jc w:val="both"/>
        <w:rPr>
          <w:rFonts w:ascii="Times New Roman" w:eastAsia="Times New Roman" w:hAnsi="Times New Roman" w:cs="Times New Roman"/>
          <w:sz w:val="24"/>
          <w:szCs w:val="24"/>
        </w:rPr>
      </w:pPr>
    </w:p>
    <w:p w:rsidR="00AB4E28" w:rsidRDefault="0074698C" w:rsidP="00485E5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Court concluded that the design of the statute “</w:t>
      </w:r>
      <w:r w:rsidRPr="0074698C">
        <w:rPr>
          <w:rFonts w:ascii="Times New Roman" w:eastAsia="Times New Roman" w:hAnsi="Times New Roman" w:cs="Times New Roman"/>
          <w:sz w:val="24"/>
          <w:szCs w:val="24"/>
        </w:rPr>
        <w:t>signals a desire to measure the offense-free time frame against fifteen years of compliance with the registration requirements.</w:t>
      </w:r>
      <w:r>
        <w:rPr>
          <w:rFonts w:ascii="Times New Roman" w:eastAsia="Times New Roman" w:hAnsi="Times New Roman" w:cs="Times New Roman"/>
          <w:sz w:val="24"/>
          <w:szCs w:val="24"/>
        </w:rPr>
        <w:t>”</w:t>
      </w:r>
      <w:r w:rsidR="002D7811">
        <w:rPr>
          <w:rStyle w:val="FootnoteReference"/>
          <w:rFonts w:ascii="Times New Roman" w:eastAsia="Times New Roman" w:hAnsi="Times New Roman" w:cs="Times New Roman"/>
          <w:sz w:val="24"/>
          <w:szCs w:val="24"/>
        </w:rPr>
        <w:footnoteReference w:id="14"/>
      </w:r>
      <w:r w:rsidR="009478B9">
        <w:rPr>
          <w:rFonts w:ascii="Times New Roman" w:eastAsia="Times New Roman" w:hAnsi="Times New Roman" w:cs="Times New Roman"/>
          <w:sz w:val="24"/>
          <w:szCs w:val="24"/>
        </w:rPr>
        <w:t xml:space="preserve"> It suggested that its </w:t>
      </w:r>
      <w:r w:rsidR="009478B9" w:rsidRPr="009478B9">
        <w:rPr>
          <w:rFonts w:ascii="Times New Roman" w:eastAsia="Times New Roman" w:hAnsi="Times New Roman" w:cs="Times New Roman"/>
          <w:sz w:val="24"/>
          <w:szCs w:val="24"/>
        </w:rPr>
        <w:t xml:space="preserve">conclusion </w:t>
      </w:r>
      <w:r w:rsidR="009478B9">
        <w:rPr>
          <w:rFonts w:ascii="Times New Roman" w:eastAsia="Times New Roman" w:hAnsi="Times New Roman" w:cs="Times New Roman"/>
          <w:sz w:val="24"/>
          <w:szCs w:val="24"/>
        </w:rPr>
        <w:t>wa</w:t>
      </w:r>
      <w:r w:rsidR="009478B9" w:rsidRPr="009478B9">
        <w:rPr>
          <w:rFonts w:ascii="Times New Roman" w:eastAsia="Times New Roman" w:hAnsi="Times New Roman" w:cs="Times New Roman"/>
          <w:sz w:val="24"/>
          <w:szCs w:val="24"/>
        </w:rPr>
        <w:t xml:space="preserve">s </w:t>
      </w:r>
      <w:r w:rsidR="009478B9">
        <w:rPr>
          <w:rFonts w:ascii="Times New Roman" w:eastAsia="Times New Roman" w:hAnsi="Times New Roman" w:cs="Times New Roman"/>
          <w:sz w:val="24"/>
          <w:szCs w:val="24"/>
        </w:rPr>
        <w:t>“</w:t>
      </w:r>
      <w:r w:rsidR="009478B9" w:rsidRPr="009478B9">
        <w:rPr>
          <w:rFonts w:ascii="Times New Roman" w:eastAsia="Times New Roman" w:hAnsi="Times New Roman" w:cs="Times New Roman"/>
          <w:sz w:val="24"/>
          <w:szCs w:val="24"/>
        </w:rPr>
        <w:t>further supported by the use of similar language when allowing termination of CSL</w:t>
      </w:r>
      <w:r w:rsidR="009478B9">
        <w:rPr>
          <w:rFonts w:ascii="Times New Roman" w:eastAsia="Times New Roman" w:hAnsi="Times New Roman" w:cs="Times New Roman"/>
          <w:sz w:val="24"/>
          <w:szCs w:val="24"/>
        </w:rPr>
        <w:t>.”</w:t>
      </w:r>
      <w:r w:rsidR="009478B9">
        <w:rPr>
          <w:rStyle w:val="FootnoteReference"/>
          <w:rFonts w:ascii="Times New Roman" w:eastAsia="Times New Roman" w:hAnsi="Times New Roman" w:cs="Times New Roman"/>
          <w:sz w:val="24"/>
          <w:szCs w:val="24"/>
        </w:rPr>
        <w:footnoteReference w:id="15"/>
      </w:r>
    </w:p>
    <w:p w:rsidR="00155984" w:rsidRDefault="00155984" w:rsidP="00485E54">
      <w:pPr>
        <w:spacing w:line="276" w:lineRule="auto"/>
        <w:jc w:val="both"/>
        <w:rPr>
          <w:rFonts w:ascii="Times New Roman" w:eastAsia="Times New Roman" w:hAnsi="Times New Roman" w:cs="Times New Roman"/>
          <w:sz w:val="24"/>
          <w:szCs w:val="24"/>
        </w:rPr>
      </w:pPr>
    </w:p>
    <w:p w:rsidR="00155984" w:rsidRDefault="00155984" w:rsidP="00485E5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Court said that “</w:t>
      </w:r>
      <w:r w:rsidRPr="00155984">
        <w:rPr>
          <w:rFonts w:ascii="Times New Roman" w:eastAsia="Times New Roman" w:hAnsi="Times New Roman" w:cs="Times New Roman"/>
          <w:sz w:val="24"/>
          <w:szCs w:val="24"/>
        </w:rPr>
        <w:t xml:space="preserve">had the Legislature used the term </w:t>
      </w:r>
      <w:r>
        <w:rPr>
          <w:rFonts w:ascii="Times New Roman" w:eastAsia="Times New Roman" w:hAnsi="Times New Roman" w:cs="Times New Roman"/>
          <w:sz w:val="24"/>
          <w:szCs w:val="24"/>
        </w:rPr>
        <w:t>‘</w:t>
      </w:r>
      <w:r w:rsidRPr="00155984">
        <w:rPr>
          <w:rFonts w:ascii="Times New Roman" w:eastAsia="Times New Roman" w:hAnsi="Times New Roman" w:cs="Times New Roman"/>
          <w:sz w:val="24"/>
          <w:szCs w:val="24"/>
        </w:rPr>
        <w:t>judgment of conviction,</w:t>
      </w:r>
      <w:r>
        <w:rPr>
          <w:rFonts w:ascii="Times New Roman" w:eastAsia="Times New Roman" w:hAnsi="Times New Roman" w:cs="Times New Roman"/>
          <w:sz w:val="24"/>
          <w:szCs w:val="24"/>
        </w:rPr>
        <w:t>’</w:t>
      </w:r>
      <w:r w:rsidRPr="00155984">
        <w:rPr>
          <w:rFonts w:ascii="Times New Roman" w:eastAsia="Times New Roman" w:hAnsi="Times New Roman" w:cs="Times New Roman"/>
          <w:sz w:val="24"/>
          <w:szCs w:val="24"/>
        </w:rPr>
        <w:t xml:space="preserve"> rather than </w:t>
      </w:r>
      <w:r>
        <w:rPr>
          <w:rFonts w:ascii="Times New Roman" w:eastAsia="Times New Roman" w:hAnsi="Times New Roman" w:cs="Times New Roman"/>
          <w:sz w:val="24"/>
          <w:szCs w:val="24"/>
        </w:rPr>
        <w:t>‘</w:t>
      </w:r>
      <w:r w:rsidRPr="00155984">
        <w:rPr>
          <w:rFonts w:ascii="Times New Roman" w:eastAsia="Times New Roman" w:hAnsi="Times New Roman" w:cs="Times New Roman"/>
          <w:sz w:val="24"/>
          <w:szCs w:val="24"/>
        </w:rPr>
        <w:t>conviction,</w:t>
      </w:r>
      <w:r>
        <w:rPr>
          <w:rFonts w:ascii="Times New Roman" w:eastAsia="Times New Roman" w:hAnsi="Times New Roman" w:cs="Times New Roman"/>
          <w:sz w:val="24"/>
          <w:szCs w:val="24"/>
        </w:rPr>
        <w:t>’</w:t>
      </w:r>
      <w:r w:rsidRPr="00155984">
        <w:rPr>
          <w:rFonts w:ascii="Times New Roman" w:eastAsia="Times New Roman" w:hAnsi="Times New Roman" w:cs="Times New Roman"/>
          <w:sz w:val="24"/>
          <w:szCs w:val="24"/>
        </w:rPr>
        <w:t xml:space="preserve"> any debate would have unmistakably ended</w:t>
      </w:r>
      <w:r>
        <w:rPr>
          <w:rFonts w:ascii="Times New Roman" w:eastAsia="Times New Roman" w:hAnsi="Times New Roman" w:cs="Times New Roman"/>
          <w:sz w:val="24"/>
          <w:szCs w:val="24"/>
        </w:rPr>
        <w:t>” and rejected the defendant’s assertion that the Legislature deliberately chose not to use the term “judgment of conviction” in N.J.S. 2C:7-2(f).</w:t>
      </w:r>
      <w:r>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w:t>
      </w:r>
    </w:p>
    <w:p w:rsidR="00155984" w:rsidRDefault="00155984" w:rsidP="00485E54">
      <w:pPr>
        <w:spacing w:line="276" w:lineRule="auto"/>
        <w:jc w:val="both"/>
        <w:rPr>
          <w:rFonts w:ascii="Times New Roman" w:eastAsia="Times New Roman" w:hAnsi="Times New Roman" w:cs="Times New Roman"/>
          <w:sz w:val="24"/>
          <w:szCs w:val="24"/>
        </w:rPr>
      </w:pPr>
    </w:p>
    <w:p w:rsidR="00155984" w:rsidRDefault="00155984" w:rsidP="00485E5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7947">
        <w:rPr>
          <w:rFonts w:ascii="Times New Roman" w:eastAsia="Times New Roman" w:hAnsi="Times New Roman" w:cs="Times New Roman"/>
          <w:sz w:val="24"/>
          <w:szCs w:val="24"/>
        </w:rPr>
        <w:t>As of the date on which the Court issued its decision, the 15</w:t>
      </w:r>
      <w:r w:rsidR="00112104">
        <w:rPr>
          <w:rFonts w:ascii="Times New Roman" w:eastAsia="Times New Roman" w:hAnsi="Times New Roman" w:cs="Times New Roman"/>
          <w:sz w:val="24"/>
          <w:szCs w:val="24"/>
        </w:rPr>
        <w:t>-</w:t>
      </w:r>
      <w:r w:rsidR="00997947">
        <w:rPr>
          <w:rFonts w:ascii="Times New Roman" w:eastAsia="Times New Roman" w:hAnsi="Times New Roman" w:cs="Times New Roman"/>
          <w:sz w:val="24"/>
          <w:szCs w:val="24"/>
        </w:rPr>
        <w:t>year period had run, but the Court explained that mootness did not preclude its review because the trial judge actually had to determine whether the defendant was offense-free during the pendency of his case in 2015, and because “</w:t>
      </w:r>
      <w:r w:rsidR="00997947" w:rsidRPr="00997947">
        <w:rPr>
          <w:rFonts w:ascii="Times New Roman" w:eastAsia="Times New Roman" w:hAnsi="Times New Roman" w:cs="Times New Roman"/>
          <w:sz w:val="24"/>
          <w:szCs w:val="24"/>
        </w:rPr>
        <w:t>the issue on appeal is an important matter of public interest and capable of repetition warranting our review.</w:t>
      </w:r>
      <w:r w:rsidR="00997947">
        <w:rPr>
          <w:rFonts w:ascii="Times New Roman" w:eastAsia="Times New Roman" w:hAnsi="Times New Roman" w:cs="Times New Roman"/>
          <w:sz w:val="24"/>
          <w:szCs w:val="24"/>
        </w:rPr>
        <w:t>”</w:t>
      </w:r>
      <w:r w:rsidR="00997947">
        <w:rPr>
          <w:rStyle w:val="FootnoteReference"/>
          <w:rFonts w:ascii="Times New Roman" w:eastAsia="Times New Roman" w:hAnsi="Times New Roman" w:cs="Times New Roman"/>
          <w:sz w:val="24"/>
          <w:szCs w:val="24"/>
        </w:rPr>
        <w:footnoteReference w:id="17"/>
      </w:r>
    </w:p>
    <w:p w:rsidR="009478B9" w:rsidRDefault="00112104" w:rsidP="00112104">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Conclusion</w:t>
      </w:r>
    </w:p>
    <w:p w:rsidR="00112104" w:rsidRDefault="00112104" w:rsidP="00112104">
      <w:pPr>
        <w:spacing w:line="276" w:lineRule="auto"/>
        <w:jc w:val="center"/>
        <w:rPr>
          <w:rFonts w:ascii="Times New Roman" w:eastAsia="Times New Roman" w:hAnsi="Times New Roman" w:cs="Times New Roman"/>
          <w:sz w:val="24"/>
          <w:szCs w:val="24"/>
        </w:rPr>
      </w:pPr>
    </w:p>
    <w:p w:rsidR="00112104" w:rsidRPr="00112104" w:rsidRDefault="00112104" w:rsidP="0011210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Staff seeks authorization to conduct additional research and outreach regarding this issue in order to determine whether modifying N.J.S. 2C-7-2(f) to add the words “judgment of” before “conviction”, or changing it in some other limited way, would aid in interpreting the provision and potentially obviate the need for additional litigation regarding the issue addressed in </w:t>
      </w:r>
      <w:r>
        <w:rPr>
          <w:rFonts w:ascii="Times New Roman" w:eastAsia="Times New Roman" w:hAnsi="Times New Roman" w:cs="Times New Roman"/>
          <w:i/>
          <w:sz w:val="24"/>
          <w:szCs w:val="24"/>
        </w:rPr>
        <w:t>In re J.S.</w:t>
      </w:r>
    </w:p>
    <w:p w:rsidR="009478B9" w:rsidRDefault="009478B9" w:rsidP="00A3346F">
      <w:pPr>
        <w:spacing w:line="276" w:lineRule="auto"/>
        <w:rPr>
          <w:rFonts w:ascii="Times New Roman" w:eastAsia="Times New Roman" w:hAnsi="Times New Roman" w:cs="Times New Roman"/>
          <w:sz w:val="24"/>
          <w:szCs w:val="24"/>
        </w:rPr>
      </w:pPr>
    </w:p>
    <w:p w:rsidR="00BF1AC9" w:rsidRDefault="00BF1AC9" w:rsidP="00A3346F">
      <w:pPr>
        <w:spacing w:line="276" w:lineRule="auto"/>
        <w:rPr>
          <w:rFonts w:ascii="Times New Roman" w:eastAsia="Times New Roman" w:hAnsi="Times New Roman" w:cs="Times New Roman"/>
          <w:sz w:val="24"/>
          <w:szCs w:val="24"/>
        </w:rPr>
      </w:pPr>
    </w:p>
    <w:p w:rsidR="00BF1AC9" w:rsidRPr="00BF1AC9" w:rsidRDefault="00BF1AC9" w:rsidP="00A3346F">
      <w:pPr>
        <w:spacing w:line="276" w:lineRule="auto"/>
        <w:rPr>
          <w:rFonts w:ascii="Times New Roman" w:eastAsia="Times New Roman" w:hAnsi="Times New Roman" w:cs="Times New Roman"/>
          <w:sz w:val="24"/>
          <w:szCs w:val="24"/>
        </w:rPr>
      </w:pPr>
    </w:p>
    <w:p w:rsidR="00A3346F" w:rsidRPr="00A3346F" w:rsidRDefault="00A3346F" w:rsidP="00A3346F">
      <w:pPr>
        <w:spacing w:line="276" w:lineRule="auto"/>
        <w:rPr>
          <w:rFonts w:ascii="Times New Roman" w:eastAsia="Times New Roman" w:hAnsi="Times New Roman" w:cs="Times New Roman"/>
          <w:sz w:val="24"/>
          <w:szCs w:val="24"/>
        </w:rPr>
      </w:pPr>
    </w:p>
    <w:p w:rsidR="00F40849" w:rsidRPr="00F40849" w:rsidRDefault="00F40849" w:rsidP="00A3346F">
      <w:pPr>
        <w:spacing w:line="276" w:lineRule="auto"/>
        <w:jc w:val="both"/>
        <w:rPr>
          <w:rFonts w:ascii="Times New Roman" w:hAnsi="Times New Roman" w:cs="Times New Roman"/>
          <w:sz w:val="24"/>
          <w:szCs w:val="24"/>
        </w:rPr>
      </w:pPr>
    </w:p>
    <w:sectPr w:rsidR="00F40849" w:rsidRPr="00F408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77" w:rsidRDefault="00BC6377" w:rsidP="00BC6377">
      <w:r>
        <w:separator/>
      </w:r>
    </w:p>
  </w:endnote>
  <w:endnote w:type="continuationSeparator" w:id="0">
    <w:p w:rsidR="00BC6377" w:rsidRDefault="00BC6377" w:rsidP="00BC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8C" w:rsidRPr="0074698C" w:rsidRDefault="0074698C" w:rsidP="0074698C">
    <w:pPr>
      <w:pStyle w:val="Footer"/>
      <w:jc w:val="center"/>
      <w:rPr>
        <w:rFonts w:ascii="Times New Roman" w:hAnsi="Times New Roman" w:cs="Times New Roman"/>
        <w:sz w:val="20"/>
        <w:szCs w:val="20"/>
      </w:rPr>
    </w:pPr>
    <w:r w:rsidRPr="0074698C">
      <w:rPr>
        <w:rFonts w:ascii="Times New Roman" w:hAnsi="Times New Roman" w:cs="Times New Roman"/>
        <w:sz w:val="20"/>
        <w:szCs w:val="20"/>
      </w:rPr>
      <w:t>Memorandum - Meaning of “conviction” in N.J.S. 2C:7-2(f) (</w:t>
    </w:r>
    <w:r w:rsidRPr="0074698C">
      <w:rPr>
        <w:rFonts w:ascii="Times New Roman" w:hAnsi="Times New Roman" w:cs="Times New Roman"/>
        <w:i/>
        <w:sz w:val="20"/>
        <w:szCs w:val="20"/>
      </w:rPr>
      <w:t>In re J.S.</w:t>
    </w:r>
    <w:r w:rsidRPr="0074698C">
      <w:rPr>
        <w:rFonts w:ascii="Times New Roman" w:hAnsi="Times New Roman" w:cs="Times New Roman"/>
        <w:sz w:val="20"/>
        <w:szCs w:val="20"/>
      </w:rPr>
      <w:t xml:space="preserve">) – January 9, 2017 – Page </w:t>
    </w:r>
    <w:r w:rsidRPr="0074698C">
      <w:rPr>
        <w:rFonts w:ascii="Times New Roman" w:hAnsi="Times New Roman" w:cs="Times New Roman"/>
        <w:sz w:val="20"/>
        <w:szCs w:val="20"/>
      </w:rPr>
      <w:fldChar w:fldCharType="begin"/>
    </w:r>
    <w:r w:rsidRPr="0074698C">
      <w:rPr>
        <w:rFonts w:ascii="Times New Roman" w:hAnsi="Times New Roman" w:cs="Times New Roman"/>
        <w:sz w:val="20"/>
        <w:szCs w:val="20"/>
      </w:rPr>
      <w:instrText xml:space="preserve"> PAGE   \* MERGEFORMAT </w:instrText>
    </w:r>
    <w:r w:rsidRPr="0074698C">
      <w:rPr>
        <w:rFonts w:ascii="Times New Roman" w:hAnsi="Times New Roman" w:cs="Times New Roman"/>
        <w:sz w:val="20"/>
        <w:szCs w:val="20"/>
      </w:rPr>
      <w:fldChar w:fldCharType="separate"/>
    </w:r>
    <w:r w:rsidR="006532B4">
      <w:rPr>
        <w:rFonts w:ascii="Times New Roman" w:hAnsi="Times New Roman" w:cs="Times New Roman"/>
        <w:noProof/>
        <w:sz w:val="20"/>
        <w:szCs w:val="20"/>
      </w:rPr>
      <w:t>1</w:t>
    </w:r>
    <w:r w:rsidRPr="0074698C">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77" w:rsidRDefault="00BC6377" w:rsidP="00BC6377">
      <w:r>
        <w:separator/>
      </w:r>
    </w:p>
  </w:footnote>
  <w:footnote w:type="continuationSeparator" w:id="0">
    <w:p w:rsidR="00BC6377" w:rsidRDefault="00BC6377" w:rsidP="00BC6377">
      <w:r>
        <w:continuationSeparator/>
      </w:r>
    </w:p>
  </w:footnote>
  <w:footnote w:id="1">
    <w:p w:rsidR="00BC6377" w:rsidRPr="00C339F4" w:rsidRDefault="00BC6377">
      <w:pPr>
        <w:pStyle w:val="FootnoteText"/>
        <w:rPr>
          <w:rFonts w:ascii="Times New Roman" w:hAnsi="Times New Roman" w:cs="Times New Roman"/>
        </w:rPr>
      </w:pPr>
      <w:r w:rsidRPr="00C339F4">
        <w:rPr>
          <w:rStyle w:val="FootnoteReference"/>
          <w:rFonts w:ascii="Times New Roman" w:hAnsi="Times New Roman" w:cs="Times New Roman"/>
        </w:rPr>
        <w:footnoteRef/>
      </w:r>
      <w:r w:rsidRPr="00C339F4">
        <w:rPr>
          <w:rFonts w:ascii="Times New Roman" w:hAnsi="Times New Roman" w:cs="Times New Roman"/>
        </w:rPr>
        <w:t xml:space="preserve"> </w:t>
      </w:r>
      <w:proofErr w:type="gramStart"/>
      <w:r w:rsidRPr="00C339F4">
        <w:rPr>
          <w:rFonts w:ascii="Times New Roman" w:hAnsi="Times New Roman" w:cs="Times New Roman"/>
          <w:i/>
        </w:rPr>
        <w:t>In re J.S.</w:t>
      </w:r>
      <w:r w:rsidRPr="00C339F4">
        <w:rPr>
          <w:rFonts w:ascii="Times New Roman" w:hAnsi="Times New Roman" w:cs="Times New Roman"/>
        </w:rPr>
        <w:t>, 444 N.J. Super.</w:t>
      </w:r>
      <w:proofErr w:type="gramEnd"/>
      <w:r w:rsidRPr="00C339F4">
        <w:rPr>
          <w:rFonts w:ascii="Times New Roman" w:hAnsi="Times New Roman" w:cs="Times New Roman"/>
        </w:rPr>
        <w:t xml:space="preserve"> </w:t>
      </w:r>
      <w:proofErr w:type="gramStart"/>
      <w:r w:rsidRPr="00C339F4">
        <w:rPr>
          <w:rFonts w:ascii="Times New Roman" w:hAnsi="Times New Roman" w:cs="Times New Roman"/>
        </w:rPr>
        <w:t>303 (App. Div. 2016).</w:t>
      </w:r>
      <w:proofErr w:type="gramEnd"/>
    </w:p>
  </w:footnote>
  <w:footnote w:id="2">
    <w:p w:rsidR="00F40849" w:rsidRPr="00C339F4" w:rsidRDefault="00F40849">
      <w:pPr>
        <w:pStyle w:val="FootnoteText"/>
        <w:rPr>
          <w:rFonts w:ascii="Times New Roman" w:hAnsi="Times New Roman" w:cs="Times New Roman"/>
        </w:rPr>
      </w:pPr>
      <w:r w:rsidRPr="00C339F4">
        <w:rPr>
          <w:rStyle w:val="FootnoteReference"/>
          <w:rFonts w:ascii="Times New Roman" w:hAnsi="Times New Roman" w:cs="Times New Roman"/>
        </w:rPr>
        <w:footnoteRef/>
      </w:r>
      <w:r w:rsidRPr="00C339F4">
        <w:rPr>
          <w:rFonts w:ascii="Times New Roman" w:hAnsi="Times New Roman" w:cs="Times New Roman"/>
        </w:rPr>
        <w:t xml:space="preserve"> </w:t>
      </w:r>
      <w:proofErr w:type="gramStart"/>
      <w:r w:rsidRPr="00C339F4">
        <w:rPr>
          <w:rFonts w:ascii="Times New Roman" w:hAnsi="Times New Roman" w:cs="Times New Roman"/>
          <w:i/>
        </w:rPr>
        <w:t>In re J.S.</w:t>
      </w:r>
      <w:r w:rsidRPr="00C339F4">
        <w:rPr>
          <w:rFonts w:ascii="Times New Roman" w:hAnsi="Times New Roman" w:cs="Times New Roman"/>
        </w:rPr>
        <w:t>, 444 N.J. Super.</w:t>
      </w:r>
      <w:proofErr w:type="gramEnd"/>
      <w:r w:rsidRPr="00C339F4">
        <w:rPr>
          <w:rFonts w:ascii="Times New Roman" w:hAnsi="Times New Roman" w:cs="Times New Roman"/>
        </w:rPr>
        <w:t xml:space="preserve"> </w:t>
      </w:r>
      <w:proofErr w:type="gramStart"/>
      <w:r w:rsidRPr="00C339F4">
        <w:rPr>
          <w:rFonts w:ascii="Times New Roman" w:hAnsi="Times New Roman" w:cs="Times New Roman"/>
        </w:rPr>
        <w:t>303, 313-314 (App. Div. 2016).</w:t>
      </w:r>
      <w:proofErr w:type="gramEnd"/>
    </w:p>
  </w:footnote>
  <w:footnote w:id="3">
    <w:p w:rsidR="00A3346F" w:rsidRPr="00C339F4" w:rsidRDefault="00A3346F">
      <w:pPr>
        <w:pStyle w:val="FootnoteText"/>
        <w:rPr>
          <w:rFonts w:ascii="Times New Roman" w:hAnsi="Times New Roman" w:cs="Times New Roman"/>
        </w:rPr>
      </w:pPr>
      <w:r w:rsidRPr="00C339F4">
        <w:rPr>
          <w:rStyle w:val="FootnoteReference"/>
          <w:rFonts w:ascii="Times New Roman" w:hAnsi="Times New Roman" w:cs="Times New Roman"/>
        </w:rPr>
        <w:footnoteRef/>
      </w:r>
      <w:r w:rsidRPr="00C339F4">
        <w:rPr>
          <w:rFonts w:ascii="Times New Roman" w:hAnsi="Times New Roman" w:cs="Times New Roman"/>
        </w:rPr>
        <w:t xml:space="preserve"> N.J.S. 2C:7-2(f).</w:t>
      </w:r>
    </w:p>
  </w:footnote>
  <w:footnote w:id="4">
    <w:p w:rsidR="00A3346F" w:rsidRPr="00C339F4" w:rsidRDefault="00A3346F">
      <w:pPr>
        <w:pStyle w:val="FootnoteText"/>
        <w:rPr>
          <w:rFonts w:ascii="Times New Roman" w:hAnsi="Times New Roman" w:cs="Times New Roman"/>
        </w:rPr>
      </w:pPr>
      <w:r w:rsidRPr="00C339F4">
        <w:rPr>
          <w:rStyle w:val="FootnoteReference"/>
          <w:rFonts w:ascii="Times New Roman" w:hAnsi="Times New Roman" w:cs="Times New Roman"/>
        </w:rPr>
        <w:footnoteRef/>
      </w:r>
      <w:r w:rsidRPr="00C339F4">
        <w:rPr>
          <w:rFonts w:ascii="Times New Roman" w:hAnsi="Times New Roman" w:cs="Times New Roman"/>
        </w:rPr>
        <w:t xml:space="preserve"> </w:t>
      </w:r>
      <w:proofErr w:type="gramStart"/>
      <w:r w:rsidRPr="00C339F4">
        <w:rPr>
          <w:rFonts w:ascii="Times New Roman" w:hAnsi="Times New Roman" w:cs="Times New Roman"/>
          <w:i/>
        </w:rPr>
        <w:t>Ibid</w:t>
      </w:r>
      <w:r w:rsidRPr="00C339F4">
        <w:rPr>
          <w:rFonts w:ascii="Times New Roman" w:hAnsi="Times New Roman" w:cs="Times New Roman"/>
        </w:rPr>
        <w:t>. at 306.</w:t>
      </w:r>
      <w:proofErr w:type="gramEnd"/>
    </w:p>
  </w:footnote>
  <w:footnote w:id="5">
    <w:p w:rsidR="00A3346F" w:rsidRPr="00C339F4" w:rsidRDefault="00A3346F">
      <w:pPr>
        <w:pStyle w:val="FootnoteText"/>
        <w:rPr>
          <w:rFonts w:ascii="Times New Roman" w:hAnsi="Times New Roman" w:cs="Times New Roman"/>
        </w:rPr>
      </w:pPr>
      <w:r w:rsidRPr="00C339F4">
        <w:rPr>
          <w:rStyle w:val="FootnoteReference"/>
          <w:rFonts w:ascii="Times New Roman" w:hAnsi="Times New Roman" w:cs="Times New Roman"/>
        </w:rPr>
        <w:footnoteRef/>
      </w:r>
      <w:r w:rsidRPr="00C339F4">
        <w:rPr>
          <w:rFonts w:ascii="Times New Roman" w:hAnsi="Times New Roman" w:cs="Times New Roman"/>
        </w:rPr>
        <w:t xml:space="preserve"> </w:t>
      </w:r>
      <w:proofErr w:type="gramStart"/>
      <w:r w:rsidRPr="00C339F4">
        <w:rPr>
          <w:rFonts w:ascii="Times New Roman" w:hAnsi="Times New Roman" w:cs="Times New Roman"/>
          <w:i/>
        </w:rPr>
        <w:t>Id</w:t>
      </w:r>
      <w:r w:rsidRPr="00C339F4">
        <w:rPr>
          <w:rFonts w:ascii="Times New Roman" w:hAnsi="Times New Roman" w:cs="Times New Roman"/>
        </w:rPr>
        <w:t>. at 307.</w:t>
      </w:r>
      <w:proofErr w:type="gramEnd"/>
    </w:p>
  </w:footnote>
  <w:footnote w:id="6">
    <w:p w:rsidR="00EA4AF7" w:rsidRPr="00C339F4" w:rsidRDefault="00EA4AF7">
      <w:pPr>
        <w:pStyle w:val="FootnoteText"/>
        <w:rPr>
          <w:rFonts w:ascii="Times New Roman" w:hAnsi="Times New Roman" w:cs="Times New Roman"/>
          <w:i/>
        </w:rPr>
      </w:pPr>
      <w:r w:rsidRPr="00C339F4">
        <w:rPr>
          <w:rStyle w:val="FootnoteReference"/>
          <w:rFonts w:ascii="Times New Roman" w:hAnsi="Times New Roman" w:cs="Times New Roman"/>
        </w:rPr>
        <w:footnoteRef/>
      </w:r>
      <w:r w:rsidRPr="00C339F4">
        <w:rPr>
          <w:rFonts w:ascii="Times New Roman" w:hAnsi="Times New Roman" w:cs="Times New Roman"/>
        </w:rPr>
        <w:t xml:space="preserve"> </w:t>
      </w:r>
      <w:r w:rsidRPr="00C339F4">
        <w:rPr>
          <w:rFonts w:ascii="Times New Roman" w:hAnsi="Times New Roman" w:cs="Times New Roman"/>
          <w:i/>
        </w:rPr>
        <w:t>Id.</w:t>
      </w:r>
    </w:p>
  </w:footnote>
  <w:footnote w:id="7">
    <w:p w:rsidR="00C339F4" w:rsidRPr="00997947" w:rsidRDefault="00C339F4">
      <w:pPr>
        <w:pStyle w:val="FootnoteText"/>
        <w:rPr>
          <w:rFonts w:ascii="Times New Roman" w:hAnsi="Times New Roman" w:cs="Times New Roman"/>
          <w:i/>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r w:rsidRPr="00997947">
        <w:rPr>
          <w:rFonts w:ascii="Times New Roman" w:hAnsi="Times New Roman" w:cs="Times New Roman"/>
          <w:i/>
        </w:rPr>
        <w:t>Id.</w:t>
      </w:r>
    </w:p>
  </w:footnote>
  <w:footnote w:id="8">
    <w:p w:rsidR="000B4B46" w:rsidRPr="00997947" w:rsidRDefault="000B4B46">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proofErr w:type="gramStart"/>
      <w:r w:rsidRPr="00997947">
        <w:rPr>
          <w:rFonts w:ascii="Times New Roman" w:hAnsi="Times New Roman" w:cs="Times New Roman"/>
          <w:i/>
          <w:iCs/>
        </w:rPr>
        <w:t>State v. Baker,</w:t>
      </w:r>
      <w:r w:rsidRPr="00997947">
        <w:rPr>
          <w:rFonts w:ascii="Times New Roman" w:hAnsi="Times New Roman" w:cs="Times New Roman"/>
        </w:rPr>
        <w:t xml:space="preserve"> 133 </w:t>
      </w:r>
      <w:r w:rsidRPr="00997947">
        <w:rPr>
          <w:rFonts w:ascii="Times New Roman" w:hAnsi="Times New Roman" w:cs="Times New Roman"/>
          <w:iCs/>
        </w:rPr>
        <w:t>N.J. Super.</w:t>
      </w:r>
      <w:proofErr w:type="gramEnd"/>
      <w:r w:rsidRPr="00997947">
        <w:rPr>
          <w:rFonts w:ascii="Times New Roman" w:hAnsi="Times New Roman" w:cs="Times New Roman"/>
        </w:rPr>
        <w:t xml:space="preserve"> </w:t>
      </w:r>
      <w:proofErr w:type="gramStart"/>
      <w:r w:rsidRPr="00997947">
        <w:rPr>
          <w:rFonts w:ascii="Times New Roman" w:hAnsi="Times New Roman" w:cs="Times New Roman"/>
        </w:rPr>
        <w:t>398, 399–400 (</w:t>
      </w:r>
      <w:proofErr w:type="spellStart"/>
      <w:r w:rsidRPr="00997947">
        <w:rPr>
          <w:rFonts w:ascii="Times New Roman" w:hAnsi="Times New Roman" w:cs="Times New Roman"/>
        </w:rPr>
        <w:t>App.Div</w:t>
      </w:r>
      <w:proofErr w:type="spellEnd"/>
      <w:r w:rsidRPr="00997947">
        <w:rPr>
          <w:rFonts w:ascii="Times New Roman" w:hAnsi="Times New Roman" w:cs="Times New Roman"/>
        </w:rPr>
        <w:t>. 1975)</w:t>
      </w:r>
      <w:r w:rsidR="0054772E" w:rsidRPr="00997947">
        <w:rPr>
          <w:rFonts w:ascii="Times New Roman" w:hAnsi="Times New Roman" w:cs="Times New Roman"/>
        </w:rPr>
        <w:t>.</w:t>
      </w:r>
      <w:proofErr w:type="gramEnd"/>
    </w:p>
  </w:footnote>
  <w:footnote w:id="9">
    <w:p w:rsidR="0013610D" w:rsidRPr="00997947" w:rsidRDefault="0013610D">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r w:rsidRPr="00997947">
        <w:rPr>
          <w:rFonts w:ascii="Times New Roman" w:hAnsi="Times New Roman" w:cs="Times New Roman"/>
          <w:i/>
        </w:rPr>
        <w:t>I</w:t>
      </w:r>
      <w:r w:rsidR="000B4B46" w:rsidRPr="00997947">
        <w:rPr>
          <w:rFonts w:ascii="Times New Roman" w:hAnsi="Times New Roman" w:cs="Times New Roman"/>
          <w:i/>
        </w:rPr>
        <w:t>bi</w:t>
      </w:r>
      <w:r w:rsidRPr="00997947">
        <w:rPr>
          <w:rFonts w:ascii="Times New Roman" w:hAnsi="Times New Roman" w:cs="Times New Roman"/>
          <w:i/>
        </w:rPr>
        <w:t>d</w:t>
      </w:r>
      <w:r w:rsidRPr="00997947">
        <w:rPr>
          <w:rFonts w:ascii="Times New Roman" w:hAnsi="Times New Roman" w:cs="Times New Roman"/>
        </w:rPr>
        <w:t>. at 309</w:t>
      </w:r>
    </w:p>
  </w:footnote>
  <w:footnote w:id="10">
    <w:p w:rsidR="00601A40" w:rsidRPr="00997947" w:rsidRDefault="00601A40">
      <w:pPr>
        <w:pStyle w:val="FootnoteText"/>
        <w:rPr>
          <w:rFonts w:ascii="Times New Roman" w:hAnsi="Times New Roman" w:cs="Times New Roman"/>
          <w:i/>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r w:rsidRPr="00997947">
        <w:rPr>
          <w:rFonts w:ascii="Times New Roman" w:hAnsi="Times New Roman" w:cs="Times New Roman"/>
          <w:i/>
        </w:rPr>
        <w:t>Id.</w:t>
      </w:r>
    </w:p>
  </w:footnote>
  <w:footnote w:id="11">
    <w:p w:rsidR="00975EB6" w:rsidRPr="00997947" w:rsidRDefault="00975EB6">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proofErr w:type="gramStart"/>
      <w:r w:rsidRPr="00997947">
        <w:rPr>
          <w:rFonts w:ascii="Times New Roman" w:hAnsi="Times New Roman" w:cs="Times New Roman"/>
        </w:rPr>
        <w:t>Id.at 310.</w:t>
      </w:r>
      <w:proofErr w:type="gramEnd"/>
    </w:p>
  </w:footnote>
  <w:footnote w:id="12">
    <w:p w:rsidR="00BF1AC9" w:rsidRPr="00997947" w:rsidRDefault="00BF1AC9">
      <w:pPr>
        <w:pStyle w:val="FootnoteText"/>
        <w:rPr>
          <w:rFonts w:ascii="Times New Roman" w:hAnsi="Times New Roman" w:cs="Times New Roman"/>
          <w:i/>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r w:rsidRPr="00997947">
        <w:rPr>
          <w:rFonts w:ascii="Times New Roman" w:hAnsi="Times New Roman" w:cs="Times New Roman"/>
          <w:i/>
        </w:rPr>
        <w:t>Id.</w:t>
      </w:r>
    </w:p>
  </w:footnote>
  <w:footnote w:id="13">
    <w:p w:rsidR="00AB4E28" w:rsidRPr="00997947" w:rsidRDefault="00AB4E28">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proofErr w:type="gramStart"/>
      <w:r w:rsidRPr="00997947">
        <w:rPr>
          <w:rFonts w:ascii="Times New Roman" w:hAnsi="Times New Roman" w:cs="Times New Roman"/>
          <w:i/>
        </w:rPr>
        <w:t>Id</w:t>
      </w:r>
      <w:r w:rsidRPr="00997947">
        <w:rPr>
          <w:rFonts w:ascii="Times New Roman" w:hAnsi="Times New Roman" w:cs="Times New Roman"/>
        </w:rPr>
        <w:t>. at 311.</w:t>
      </w:r>
      <w:proofErr w:type="gramEnd"/>
    </w:p>
  </w:footnote>
  <w:footnote w:id="14">
    <w:p w:rsidR="002D7811" w:rsidRPr="00997947" w:rsidRDefault="002D7811">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proofErr w:type="gramStart"/>
      <w:r w:rsidRPr="00997947">
        <w:rPr>
          <w:rFonts w:ascii="Times New Roman" w:hAnsi="Times New Roman" w:cs="Times New Roman"/>
          <w:i/>
        </w:rPr>
        <w:t>Id</w:t>
      </w:r>
      <w:r w:rsidRPr="00997947">
        <w:rPr>
          <w:rFonts w:ascii="Times New Roman" w:hAnsi="Times New Roman" w:cs="Times New Roman"/>
        </w:rPr>
        <w:t>. at 312.</w:t>
      </w:r>
      <w:proofErr w:type="gramEnd"/>
      <w:r w:rsidRPr="00997947">
        <w:rPr>
          <w:rFonts w:ascii="Times New Roman" w:hAnsi="Times New Roman" w:cs="Times New Roman"/>
        </w:rPr>
        <w:t xml:space="preserve"> </w:t>
      </w:r>
    </w:p>
  </w:footnote>
  <w:footnote w:id="15">
    <w:p w:rsidR="009478B9" w:rsidRPr="00997947" w:rsidRDefault="009478B9">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r w:rsidR="00485E54" w:rsidRPr="00997947">
        <w:rPr>
          <w:rFonts w:ascii="Times New Roman" w:hAnsi="Times New Roman" w:cs="Times New Roman"/>
          <w:i/>
        </w:rPr>
        <w:t>Id</w:t>
      </w:r>
      <w:r w:rsidR="00485E54" w:rsidRPr="00997947">
        <w:rPr>
          <w:rFonts w:ascii="Times New Roman" w:hAnsi="Times New Roman" w:cs="Times New Roman"/>
        </w:rPr>
        <w:t xml:space="preserve">. </w:t>
      </w:r>
    </w:p>
  </w:footnote>
  <w:footnote w:id="16">
    <w:p w:rsidR="00155984" w:rsidRPr="00997947" w:rsidRDefault="00155984">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proofErr w:type="gramStart"/>
      <w:r w:rsidRPr="00997947">
        <w:rPr>
          <w:rFonts w:ascii="Times New Roman" w:hAnsi="Times New Roman" w:cs="Times New Roman"/>
          <w:i/>
        </w:rPr>
        <w:t>Id.</w:t>
      </w:r>
      <w:r w:rsidRPr="00997947">
        <w:rPr>
          <w:rFonts w:ascii="Times New Roman" w:hAnsi="Times New Roman" w:cs="Times New Roman"/>
        </w:rPr>
        <w:t xml:space="preserve"> at 313.</w:t>
      </w:r>
      <w:proofErr w:type="gramEnd"/>
    </w:p>
  </w:footnote>
  <w:footnote w:id="17">
    <w:p w:rsidR="00997947" w:rsidRPr="00997947" w:rsidRDefault="00997947">
      <w:pPr>
        <w:pStyle w:val="FootnoteText"/>
        <w:rPr>
          <w:rFonts w:ascii="Times New Roman" w:hAnsi="Times New Roman" w:cs="Times New Roman"/>
        </w:rPr>
      </w:pPr>
      <w:r w:rsidRPr="00997947">
        <w:rPr>
          <w:rStyle w:val="FootnoteReference"/>
          <w:rFonts w:ascii="Times New Roman" w:hAnsi="Times New Roman" w:cs="Times New Roman"/>
        </w:rPr>
        <w:footnoteRef/>
      </w:r>
      <w:r w:rsidRPr="00997947">
        <w:rPr>
          <w:rFonts w:ascii="Times New Roman" w:hAnsi="Times New Roman" w:cs="Times New Roman"/>
        </w:rPr>
        <w:t xml:space="preserve"> </w:t>
      </w:r>
      <w:r w:rsidRPr="00997947">
        <w:rPr>
          <w:rFonts w:ascii="Times New Roman" w:hAnsi="Times New Roman" w:cs="Times New Roman"/>
          <w:i/>
        </w:rPr>
        <w:t>Id.</w:t>
      </w:r>
      <w:r w:rsidRPr="00997947">
        <w:rPr>
          <w:rFonts w:ascii="Times New Roman" w:hAnsi="Times New Roman" w:cs="Times New Roman"/>
        </w:rPr>
        <w:t xml:space="preserve"> at 313-314.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77"/>
    <w:rsid w:val="000B4B46"/>
    <w:rsid w:val="00112104"/>
    <w:rsid w:val="0013610D"/>
    <w:rsid w:val="00155984"/>
    <w:rsid w:val="00166504"/>
    <w:rsid w:val="00256792"/>
    <w:rsid w:val="002D7811"/>
    <w:rsid w:val="003566FF"/>
    <w:rsid w:val="003864BD"/>
    <w:rsid w:val="00485E54"/>
    <w:rsid w:val="0054772E"/>
    <w:rsid w:val="00601A40"/>
    <w:rsid w:val="006532B4"/>
    <w:rsid w:val="0074698C"/>
    <w:rsid w:val="007B1B3E"/>
    <w:rsid w:val="007E083E"/>
    <w:rsid w:val="009478B9"/>
    <w:rsid w:val="00975EB6"/>
    <w:rsid w:val="00997947"/>
    <w:rsid w:val="00A3346F"/>
    <w:rsid w:val="00AB4E28"/>
    <w:rsid w:val="00BC6377"/>
    <w:rsid w:val="00BF1AC9"/>
    <w:rsid w:val="00C339F4"/>
    <w:rsid w:val="00C33C45"/>
    <w:rsid w:val="00EA4AF7"/>
    <w:rsid w:val="00EB0DBA"/>
    <w:rsid w:val="00F40849"/>
    <w:rsid w:val="00F7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6377"/>
    <w:rPr>
      <w:sz w:val="20"/>
      <w:szCs w:val="20"/>
    </w:rPr>
  </w:style>
  <w:style w:type="character" w:customStyle="1" w:styleId="FootnoteTextChar">
    <w:name w:val="Footnote Text Char"/>
    <w:basedOn w:val="DefaultParagraphFont"/>
    <w:link w:val="FootnoteText"/>
    <w:uiPriority w:val="99"/>
    <w:semiHidden/>
    <w:rsid w:val="00BC6377"/>
    <w:rPr>
      <w:sz w:val="20"/>
      <w:szCs w:val="20"/>
    </w:rPr>
  </w:style>
  <w:style w:type="character" w:styleId="FootnoteReference">
    <w:name w:val="footnote reference"/>
    <w:basedOn w:val="DefaultParagraphFont"/>
    <w:uiPriority w:val="99"/>
    <w:semiHidden/>
    <w:unhideWhenUsed/>
    <w:rsid w:val="00BC6377"/>
    <w:rPr>
      <w:vertAlign w:val="superscript"/>
    </w:rPr>
  </w:style>
  <w:style w:type="character" w:styleId="Hyperlink">
    <w:name w:val="Hyperlink"/>
    <w:basedOn w:val="DefaultParagraphFont"/>
    <w:uiPriority w:val="99"/>
    <w:unhideWhenUsed/>
    <w:rsid w:val="0013610D"/>
    <w:rPr>
      <w:color w:val="6B9F25" w:themeColor="hyperlink"/>
      <w:u w:val="single"/>
    </w:rPr>
  </w:style>
  <w:style w:type="paragraph" w:styleId="Header">
    <w:name w:val="header"/>
    <w:basedOn w:val="Normal"/>
    <w:link w:val="HeaderChar"/>
    <w:uiPriority w:val="99"/>
    <w:unhideWhenUsed/>
    <w:rsid w:val="0074698C"/>
    <w:pPr>
      <w:tabs>
        <w:tab w:val="center" w:pos="4680"/>
        <w:tab w:val="right" w:pos="9360"/>
      </w:tabs>
    </w:pPr>
  </w:style>
  <w:style w:type="character" w:customStyle="1" w:styleId="HeaderChar">
    <w:name w:val="Header Char"/>
    <w:basedOn w:val="DefaultParagraphFont"/>
    <w:link w:val="Header"/>
    <w:uiPriority w:val="99"/>
    <w:rsid w:val="0074698C"/>
  </w:style>
  <w:style w:type="paragraph" w:styleId="Footer">
    <w:name w:val="footer"/>
    <w:basedOn w:val="Normal"/>
    <w:link w:val="FooterChar"/>
    <w:uiPriority w:val="99"/>
    <w:unhideWhenUsed/>
    <w:rsid w:val="0074698C"/>
    <w:pPr>
      <w:tabs>
        <w:tab w:val="center" w:pos="4680"/>
        <w:tab w:val="right" w:pos="9360"/>
      </w:tabs>
    </w:pPr>
  </w:style>
  <w:style w:type="character" w:customStyle="1" w:styleId="FooterChar">
    <w:name w:val="Footer Char"/>
    <w:basedOn w:val="DefaultParagraphFont"/>
    <w:link w:val="Footer"/>
    <w:uiPriority w:val="99"/>
    <w:rsid w:val="00746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6377"/>
    <w:rPr>
      <w:sz w:val="20"/>
      <w:szCs w:val="20"/>
    </w:rPr>
  </w:style>
  <w:style w:type="character" w:customStyle="1" w:styleId="FootnoteTextChar">
    <w:name w:val="Footnote Text Char"/>
    <w:basedOn w:val="DefaultParagraphFont"/>
    <w:link w:val="FootnoteText"/>
    <w:uiPriority w:val="99"/>
    <w:semiHidden/>
    <w:rsid w:val="00BC6377"/>
    <w:rPr>
      <w:sz w:val="20"/>
      <w:szCs w:val="20"/>
    </w:rPr>
  </w:style>
  <w:style w:type="character" w:styleId="FootnoteReference">
    <w:name w:val="footnote reference"/>
    <w:basedOn w:val="DefaultParagraphFont"/>
    <w:uiPriority w:val="99"/>
    <w:semiHidden/>
    <w:unhideWhenUsed/>
    <w:rsid w:val="00BC6377"/>
    <w:rPr>
      <w:vertAlign w:val="superscript"/>
    </w:rPr>
  </w:style>
  <w:style w:type="character" w:styleId="Hyperlink">
    <w:name w:val="Hyperlink"/>
    <w:basedOn w:val="DefaultParagraphFont"/>
    <w:uiPriority w:val="99"/>
    <w:unhideWhenUsed/>
    <w:rsid w:val="0013610D"/>
    <w:rPr>
      <w:color w:val="6B9F25" w:themeColor="hyperlink"/>
      <w:u w:val="single"/>
    </w:rPr>
  </w:style>
  <w:style w:type="paragraph" w:styleId="Header">
    <w:name w:val="header"/>
    <w:basedOn w:val="Normal"/>
    <w:link w:val="HeaderChar"/>
    <w:uiPriority w:val="99"/>
    <w:unhideWhenUsed/>
    <w:rsid w:val="0074698C"/>
    <w:pPr>
      <w:tabs>
        <w:tab w:val="center" w:pos="4680"/>
        <w:tab w:val="right" w:pos="9360"/>
      </w:tabs>
    </w:pPr>
  </w:style>
  <w:style w:type="character" w:customStyle="1" w:styleId="HeaderChar">
    <w:name w:val="Header Char"/>
    <w:basedOn w:val="DefaultParagraphFont"/>
    <w:link w:val="Header"/>
    <w:uiPriority w:val="99"/>
    <w:rsid w:val="0074698C"/>
  </w:style>
  <w:style w:type="paragraph" w:styleId="Footer">
    <w:name w:val="footer"/>
    <w:basedOn w:val="Normal"/>
    <w:link w:val="FooterChar"/>
    <w:uiPriority w:val="99"/>
    <w:unhideWhenUsed/>
    <w:rsid w:val="0074698C"/>
    <w:pPr>
      <w:tabs>
        <w:tab w:val="center" w:pos="4680"/>
        <w:tab w:val="right" w:pos="9360"/>
      </w:tabs>
    </w:pPr>
  </w:style>
  <w:style w:type="character" w:customStyle="1" w:styleId="FooterChar">
    <w:name w:val="Footer Char"/>
    <w:basedOn w:val="DefaultParagraphFont"/>
    <w:link w:val="Footer"/>
    <w:uiPriority w:val="99"/>
    <w:rsid w:val="0074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7758">
      <w:bodyDiv w:val="1"/>
      <w:marLeft w:val="0"/>
      <w:marRight w:val="0"/>
      <w:marTop w:val="0"/>
      <w:marBottom w:val="0"/>
      <w:divBdr>
        <w:top w:val="none" w:sz="0" w:space="0" w:color="auto"/>
        <w:left w:val="none" w:sz="0" w:space="0" w:color="auto"/>
        <w:bottom w:val="none" w:sz="0" w:space="0" w:color="auto"/>
        <w:right w:val="none" w:sz="0" w:space="0" w:color="auto"/>
      </w:divBdr>
      <w:divsChild>
        <w:div w:id="352002337">
          <w:marLeft w:val="0"/>
          <w:marRight w:val="0"/>
          <w:marTop w:val="0"/>
          <w:marBottom w:val="0"/>
          <w:divBdr>
            <w:top w:val="none" w:sz="0" w:space="0" w:color="auto"/>
            <w:left w:val="none" w:sz="0" w:space="0" w:color="auto"/>
            <w:bottom w:val="none" w:sz="0" w:space="0" w:color="auto"/>
            <w:right w:val="none" w:sz="0" w:space="0" w:color="auto"/>
          </w:divBdr>
          <w:divsChild>
            <w:div w:id="841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9CBC-46C7-4F84-B564-8E53FEC8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Tharney</dc:creator>
  <cp:lastModifiedBy>Linda Woodards-French</cp:lastModifiedBy>
  <cp:revision>3</cp:revision>
  <cp:lastPrinted>2017-01-10T17:17:00Z</cp:lastPrinted>
  <dcterms:created xsi:type="dcterms:W3CDTF">2017-01-06T21:41:00Z</dcterms:created>
  <dcterms:modified xsi:type="dcterms:W3CDTF">2017-01-10T17:18:00Z</dcterms:modified>
</cp:coreProperties>
</file>