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1" w:rsidRPr="00213120" w:rsidRDefault="00A85796" w:rsidP="00A857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3120">
        <w:rPr>
          <w:rFonts w:ascii="Times New Roman" w:hAnsi="Times New Roman" w:cs="Times New Roman"/>
          <w:b/>
          <w:sz w:val="24"/>
        </w:rPr>
        <w:t>To:</w:t>
      </w:r>
      <w:r w:rsidRPr="00213120">
        <w:rPr>
          <w:rFonts w:ascii="Times New Roman" w:hAnsi="Times New Roman" w:cs="Times New Roman"/>
          <w:b/>
          <w:sz w:val="24"/>
        </w:rPr>
        <w:tab/>
      </w:r>
      <w:r w:rsidRPr="00213120">
        <w:rPr>
          <w:rFonts w:ascii="Times New Roman" w:hAnsi="Times New Roman" w:cs="Times New Roman"/>
          <w:b/>
          <w:sz w:val="24"/>
        </w:rPr>
        <w:tab/>
        <w:t>New Jersey Law Revision Commission</w:t>
      </w:r>
    </w:p>
    <w:p w:rsidR="00A85796" w:rsidRPr="00213120" w:rsidRDefault="00A85796" w:rsidP="00A857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3120">
        <w:rPr>
          <w:rFonts w:ascii="Times New Roman" w:hAnsi="Times New Roman" w:cs="Times New Roman"/>
          <w:b/>
          <w:sz w:val="24"/>
        </w:rPr>
        <w:t>From:</w:t>
      </w:r>
      <w:r w:rsidRPr="00213120">
        <w:rPr>
          <w:rFonts w:ascii="Times New Roman" w:hAnsi="Times New Roman" w:cs="Times New Roman"/>
          <w:b/>
          <w:sz w:val="24"/>
        </w:rPr>
        <w:tab/>
      </w:r>
      <w:r w:rsidRPr="00213120">
        <w:rPr>
          <w:rFonts w:ascii="Times New Roman" w:hAnsi="Times New Roman" w:cs="Times New Roman"/>
          <w:b/>
          <w:sz w:val="24"/>
        </w:rPr>
        <w:tab/>
        <w:t xml:space="preserve">Joseph </w:t>
      </w:r>
      <w:proofErr w:type="spellStart"/>
      <w:r w:rsidRPr="00213120">
        <w:rPr>
          <w:rFonts w:ascii="Times New Roman" w:hAnsi="Times New Roman" w:cs="Times New Roman"/>
          <w:b/>
          <w:sz w:val="24"/>
        </w:rPr>
        <w:t>Pistritto</w:t>
      </w:r>
      <w:proofErr w:type="spellEnd"/>
      <w:r w:rsidRPr="00213120">
        <w:rPr>
          <w:rFonts w:ascii="Times New Roman" w:hAnsi="Times New Roman" w:cs="Times New Roman"/>
          <w:b/>
          <w:sz w:val="24"/>
        </w:rPr>
        <w:t>, Legislative Fellow</w:t>
      </w:r>
    </w:p>
    <w:p w:rsidR="00A85796" w:rsidRPr="00213120" w:rsidRDefault="00A85796" w:rsidP="00A857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3120">
        <w:rPr>
          <w:rFonts w:ascii="Times New Roman" w:hAnsi="Times New Roman" w:cs="Times New Roman"/>
          <w:b/>
          <w:sz w:val="24"/>
        </w:rPr>
        <w:tab/>
      </w:r>
      <w:r w:rsidRPr="00213120">
        <w:rPr>
          <w:rFonts w:ascii="Times New Roman" w:hAnsi="Times New Roman" w:cs="Times New Roman"/>
          <w:b/>
          <w:sz w:val="24"/>
        </w:rPr>
        <w:tab/>
        <w:t xml:space="preserve">Timothy </w:t>
      </w:r>
      <w:proofErr w:type="spellStart"/>
      <w:r w:rsidRPr="00213120">
        <w:rPr>
          <w:rFonts w:ascii="Times New Roman" w:hAnsi="Times New Roman" w:cs="Times New Roman"/>
          <w:b/>
          <w:sz w:val="24"/>
        </w:rPr>
        <w:t>Bott</w:t>
      </w:r>
      <w:proofErr w:type="spellEnd"/>
      <w:r w:rsidRPr="00213120">
        <w:rPr>
          <w:rFonts w:ascii="Times New Roman" w:hAnsi="Times New Roman" w:cs="Times New Roman"/>
          <w:b/>
          <w:sz w:val="24"/>
        </w:rPr>
        <w:t>, Legislative Intern</w:t>
      </w:r>
    </w:p>
    <w:p w:rsidR="00A85796" w:rsidRPr="00213120" w:rsidRDefault="00A85796" w:rsidP="00A857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13120">
        <w:rPr>
          <w:rFonts w:ascii="Times New Roman" w:hAnsi="Times New Roman" w:cs="Times New Roman"/>
          <w:b/>
          <w:sz w:val="24"/>
        </w:rPr>
        <w:t>Re:</w:t>
      </w:r>
      <w:r w:rsidRPr="00213120">
        <w:rPr>
          <w:rFonts w:ascii="Times New Roman" w:hAnsi="Times New Roman" w:cs="Times New Roman"/>
          <w:b/>
          <w:sz w:val="24"/>
        </w:rPr>
        <w:tab/>
      </w:r>
      <w:r w:rsidRPr="00213120">
        <w:rPr>
          <w:rFonts w:ascii="Times New Roman" w:hAnsi="Times New Roman" w:cs="Times New Roman"/>
          <w:b/>
          <w:sz w:val="24"/>
        </w:rPr>
        <w:tab/>
        <w:t>Retroactivity of N.J.S. 2A:50-56.1</w:t>
      </w:r>
    </w:p>
    <w:p w:rsidR="00A85796" w:rsidRDefault="00A85796" w:rsidP="00A857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3120">
        <w:rPr>
          <w:rFonts w:ascii="Times New Roman" w:hAnsi="Times New Roman" w:cs="Times New Roman"/>
          <w:b/>
          <w:sz w:val="24"/>
        </w:rPr>
        <w:t>Date:</w:t>
      </w:r>
      <w:r w:rsidRPr="00213120">
        <w:rPr>
          <w:rFonts w:ascii="Times New Roman" w:hAnsi="Times New Roman" w:cs="Times New Roman"/>
          <w:b/>
          <w:sz w:val="24"/>
        </w:rPr>
        <w:tab/>
      </w:r>
      <w:r w:rsidRPr="00213120">
        <w:rPr>
          <w:rFonts w:ascii="Times New Roman" w:hAnsi="Times New Roman" w:cs="Times New Roman"/>
          <w:b/>
          <w:sz w:val="24"/>
        </w:rPr>
        <w:tab/>
        <w:t>May 6, 2019</w:t>
      </w:r>
    </w:p>
    <w:p w:rsidR="00A85796" w:rsidRDefault="00A85796" w:rsidP="00A857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5796" w:rsidRDefault="00A85796" w:rsidP="008963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</w:t>
      </w:r>
      <w:r w:rsidR="00EC5CB2">
        <w:rPr>
          <w:rFonts w:ascii="Times New Roman" w:hAnsi="Times New Roman" w:cs="Times New Roman"/>
          <w:b/>
          <w:sz w:val="24"/>
        </w:rPr>
        <w:t>EMORANDUM</w:t>
      </w:r>
    </w:p>
    <w:p w:rsidR="008963E6" w:rsidRDefault="008963E6" w:rsidP="008963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90567" w:rsidRDefault="00290567" w:rsidP="00A8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Executive Summary</w:t>
      </w:r>
    </w:p>
    <w:p w:rsidR="00BF6DC9" w:rsidRDefault="00BF6DC9" w:rsidP="00A857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326B" w:rsidRDefault="00FF78FF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2018,</w:t>
      </w:r>
      <w:r w:rsidR="004A5A82">
        <w:rPr>
          <w:rFonts w:ascii="Times New Roman" w:hAnsi="Times New Roman" w:cs="Times New Roman"/>
          <w:sz w:val="24"/>
        </w:rPr>
        <w:t xml:space="preserve"> </w:t>
      </w:r>
      <w:r w:rsidR="00131439">
        <w:rPr>
          <w:rFonts w:ascii="Times New Roman" w:hAnsi="Times New Roman" w:cs="Times New Roman"/>
          <w:sz w:val="24"/>
        </w:rPr>
        <w:t xml:space="preserve">Appellate Division decided two cases </w:t>
      </w:r>
      <w:r w:rsidR="00647AFA">
        <w:rPr>
          <w:rFonts w:ascii="Times New Roman" w:hAnsi="Times New Roman" w:cs="Times New Roman"/>
          <w:sz w:val="24"/>
        </w:rPr>
        <w:t>concerning</w:t>
      </w:r>
      <w:r w:rsidR="00F64138">
        <w:rPr>
          <w:rFonts w:ascii="Times New Roman" w:hAnsi="Times New Roman" w:cs="Times New Roman"/>
          <w:sz w:val="24"/>
        </w:rPr>
        <w:t xml:space="preserve"> the issue of</w:t>
      </w:r>
      <w:r w:rsidR="00131439">
        <w:rPr>
          <w:rFonts w:ascii="Times New Roman" w:hAnsi="Times New Roman" w:cs="Times New Roman"/>
          <w:sz w:val="24"/>
        </w:rPr>
        <w:t xml:space="preserve"> whether N.J.S. 2A:50-56.1, the statute of limitations provision for residential mortgage foreclosures, was retroactive to causes of action that arose prior to its enactment in 2009.</w:t>
      </w:r>
      <w:r w:rsidR="00131439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5F653D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5F653D">
        <w:rPr>
          <w:rFonts w:ascii="Times New Roman" w:hAnsi="Times New Roman" w:cs="Times New Roman"/>
          <w:i/>
          <w:sz w:val="24"/>
        </w:rPr>
        <w:t>Anim</w:t>
      </w:r>
      <w:proofErr w:type="spellEnd"/>
      <w:r w:rsidR="005F653D">
        <w:rPr>
          <w:rFonts w:ascii="Times New Roman" w:hAnsi="Times New Roman" w:cs="Times New Roman"/>
          <w:i/>
          <w:sz w:val="24"/>
        </w:rPr>
        <w:t xml:space="preserve"> Investment Co. v. </w:t>
      </w:r>
      <w:proofErr w:type="spellStart"/>
      <w:r w:rsidR="005F653D">
        <w:rPr>
          <w:rFonts w:ascii="Times New Roman" w:hAnsi="Times New Roman" w:cs="Times New Roman"/>
          <w:i/>
          <w:sz w:val="24"/>
        </w:rPr>
        <w:t>Shalhoub</w:t>
      </w:r>
      <w:proofErr w:type="spellEnd"/>
      <w:r w:rsidR="005F653D">
        <w:rPr>
          <w:rFonts w:ascii="Times New Roman" w:hAnsi="Times New Roman" w:cs="Times New Roman"/>
          <w:sz w:val="24"/>
        </w:rPr>
        <w:t xml:space="preserve">, the Court held that the statute of limitations </w:t>
      </w:r>
      <w:r w:rsidR="001B2683">
        <w:rPr>
          <w:rFonts w:ascii="Times New Roman" w:hAnsi="Times New Roman" w:cs="Times New Roman"/>
          <w:sz w:val="24"/>
        </w:rPr>
        <w:t xml:space="preserve">was retroactive </w:t>
      </w:r>
      <w:r w:rsidR="00647AFA">
        <w:rPr>
          <w:rFonts w:ascii="Times New Roman" w:hAnsi="Times New Roman" w:cs="Times New Roman"/>
          <w:sz w:val="24"/>
        </w:rPr>
        <w:t>since</w:t>
      </w:r>
      <w:r w:rsidR="001B2683">
        <w:rPr>
          <w:rFonts w:ascii="Times New Roman" w:hAnsi="Times New Roman" w:cs="Times New Roman"/>
          <w:sz w:val="24"/>
        </w:rPr>
        <w:t xml:space="preserve"> </w:t>
      </w:r>
      <w:r w:rsidR="00724E8E">
        <w:rPr>
          <w:rFonts w:ascii="Times New Roman" w:hAnsi="Times New Roman" w:cs="Times New Roman"/>
          <w:sz w:val="24"/>
        </w:rPr>
        <w:t>it was</w:t>
      </w:r>
      <w:r w:rsidR="0094385B">
        <w:rPr>
          <w:rFonts w:ascii="Times New Roman" w:hAnsi="Times New Roman" w:cs="Times New Roman"/>
          <w:sz w:val="24"/>
        </w:rPr>
        <w:t xml:space="preserve"> curative</w:t>
      </w:r>
      <w:r w:rsidR="00724E8E"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="0094385B">
        <w:rPr>
          <w:rFonts w:ascii="Times New Roman" w:hAnsi="Times New Roman" w:cs="Times New Roman"/>
          <w:sz w:val="24"/>
        </w:rPr>
        <w:t xml:space="preserve"> while in </w:t>
      </w:r>
      <w:r w:rsidR="0094385B">
        <w:rPr>
          <w:rFonts w:ascii="Times New Roman" w:hAnsi="Times New Roman" w:cs="Times New Roman"/>
          <w:i/>
          <w:sz w:val="24"/>
        </w:rPr>
        <w:t>Pfeifer v. McLaughlin</w:t>
      </w:r>
      <w:r w:rsidR="0094385B">
        <w:rPr>
          <w:rFonts w:ascii="Times New Roman" w:hAnsi="Times New Roman" w:cs="Times New Roman"/>
          <w:sz w:val="24"/>
        </w:rPr>
        <w:t xml:space="preserve"> the Court found the statute could not be applied retroactively because it was </w:t>
      </w:r>
      <w:r w:rsidR="0094385B">
        <w:rPr>
          <w:rFonts w:ascii="Times New Roman" w:hAnsi="Times New Roman" w:cs="Times New Roman"/>
          <w:i/>
          <w:sz w:val="24"/>
        </w:rPr>
        <w:t>not</w:t>
      </w:r>
      <w:r w:rsidR="0094385B">
        <w:rPr>
          <w:rFonts w:ascii="Times New Roman" w:hAnsi="Times New Roman" w:cs="Times New Roman"/>
          <w:sz w:val="24"/>
        </w:rPr>
        <w:t xml:space="preserve"> curative</w:t>
      </w:r>
      <w:r w:rsidR="00D2541D">
        <w:rPr>
          <w:rFonts w:ascii="Times New Roman" w:hAnsi="Times New Roman" w:cs="Times New Roman"/>
          <w:sz w:val="24"/>
        </w:rPr>
        <w:t>.</w:t>
      </w:r>
      <w:r w:rsidR="00D2541D">
        <w:rPr>
          <w:rStyle w:val="FootnoteReference"/>
          <w:rFonts w:ascii="Times New Roman" w:hAnsi="Times New Roman" w:cs="Times New Roman"/>
          <w:sz w:val="24"/>
        </w:rPr>
        <w:footnoteReference w:id="3"/>
      </w:r>
      <w:r w:rsidR="00C501D9">
        <w:rPr>
          <w:rFonts w:ascii="Times New Roman" w:hAnsi="Times New Roman" w:cs="Times New Roman"/>
          <w:sz w:val="24"/>
        </w:rPr>
        <w:t xml:space="preserve"> </w:t>
      </w:r>
    </w:p>
    <w:p w:rsidR="00647AFA" w:rsidRDefault="00647AFA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DC326B" w:rsidRDefault="00DC326B" w:rsidP="00DC326B">
      <w:pPr>
        <w:spacing w:after="0"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Background</w:t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606C65" w:rsidRP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A.</w:t>
      </w:r>
      <w:r>
        <w:rPr>
          <w:rFonts w:ascii="Times New Roman" w:hAnsi="Times New Roman" w:cs="Times New Roman"/>
          <w:b/>
          <w:i/>
          <w:sz w:val="24"/>
        </w:rPr>
        <w:tab/>
      </w:r>
      <w:proofErr w:type="spellStart"/>
      <w:r w:rsidR="00606C65" w:rsidRPr="00DC326B">
        <w:rPr>
          <w:rFonts w:ascii="Times New Roman" w:hAnsi="Times New Roman" w:cs="Times New Roman"/>
          <w:b/>
          <w:i/>
          <w:sz w:val="24"/>
        </w:rPr>
        <w:t>Anim</w:t>
      </w:r>
      <w:proofErr w:type="spellEnd"/>
      <w:r w:rsidR="00606C65" w:rsidRPr="00DC326B">
        <w:rPr>
          <w:rFonts w:ascii="Times New Roman" w:hAnsi="Times New Roman" w:cs="Times New Roman"/>
          <w:b/>
          <w:i/>
          <w:sz w:val="24"/>
        </w:rPr>
        <w:t xml:space="preserve"> Investment Co. v. </w:t>
      </w:r>
      <w:proofErr w:type="spellStart"/>
      <w:r w:rsidR="00606C65" w:rsidRPr="00DC326B">
        <w:rPr>
          <w:rFonts w:ascii="Times New Roman" w:hAnsi="Times New Roman" w:cs="Times New Roman"/>
          <w:b/>
          <w:i/>
          <w:sz w:val="24"/>
        </w:rPr>
        <w:t>Shalhoub</w:t>
      </w:r>
      <w:proofErr w:type="spellEnd"/>
    </w:p>
    <w:p w:rsidR="00606C65" w:rsidRDefault="00606C65" w:rsidP="00DC326B">
      <w:pPr>
        <w:spacing w:after="0" w:line="259" w:lineRule="auto"/>
        <w:jc w:val="both"/>
        <w:rPr>
          <w:rFonts w:ascii="Times New Roman" w:hAnsi="Times New Roman" w:cs="Times New Roman"/>
          <w:b/>
          <w:sz w:val="24"/>
        </w:rPr>
      </w:pPr>
    </w:p>
    <w:p w:rsidR="00F635D2" w:rsidRDefault="00152A74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A42DB">
        <w:rPr>
          <w:rFonts w:ascii="Times New Roman" w:hAnsi="Times New Roman" w:cs="Times New Roman"/>
          <w:sz w:val="24"/>
        </w:rPr>
        <w:t>On September 19, 1990,</w:t>
      </w:r>
      <w:r w:rsidR="004B053C">
        <w:rPr>
          <w:rFonts w:ascii="Times New Roman" w:hAnsi="Times New Roman" w:cs="Times New Roman"/>
          <w:sz w:val="24"/>
        </w:rPr>
        <w:t xml:space="preserve"> the </w:t>
      </w:r>
      <w:r w:rsidR="003116BA">
        <w:rPr>
          <w:rFonts w:ascii="Times New Roman" w:hAnsi="Times New Roman" w:cs="Times New Roman"/>
          <w:sz w:val="24"/>
        </w:rPr>
        <w:t xml:space="preserve">George and Kathleen </w:t>
      </w:r>
      <w:proofErr w:type="spellStart"/>
      <w:r w:rsidR="003116BA">
        <w:rPr>
          <w:rFonts w:ascii="Times New Roman" w:hAnsi="Times New Roman" w:cs="Times New Roman"/>
          <w:sz w:val="24"/>
        </w:rPr>
        <w:t>Shalhoub</w:t>
      </w:r>
      <w:proofErr w:type="spellEnd"/>
      <w:r w:rsidR="003116BA">
        <w:rPr>
          <w:rFonts w:ascii="Times New Roman" w:hAnsi="Times New Roman" w:cs="Times New Roman"/>
          <w:sz w:val="24"/>
        </w:rPr>
        <w:t xml:space="preserve"> (Defendants)</w:t>
      </w:r>
      <w:r w:rsidR="004B053C">
        <w:rPr>
          <w:rFonts w:ascii="Times New Roman" w:hAnsi="Times New Roman" w:cs="Times New Roman"/>
          <w:sz w:val="24"/>
        </w:rPr>
        <w:t xml:space="preserve"> executed a five-year note for $178,100 with Mortgage Electronic Registration Systems which was secured by a mortgage on Defendants’ property.</w:t>
      </w:r>
      <w:r w:rsidR="004B053C">
        <w:rPr>
          <w:rStyle w:val="FootnoteReference"/>
          <w:rFonts w:ascii="Times New Roman" w:hAnsi="Times New Roman" w:cs="Times New Roman"/>
          <w:sz w:val="24"/>
        </w:rPr>
        <w:footnoteReference w:id="4"/>
      </w:r>
      <w:r w:rsidR="004B053C">
        <w:rPr>
          <w:rFonts w:ascii="Times New Roman" w:hAnsi="Times New Roman" w:cs="Times New Roman"/>
          <w:sz w:val="24"/>
        </w:rPr>
        <w:t xml:space="preserve"> The note and the mortgage were set to </w:t>
      </w:r>
      <w:r w:rsidR="00BA42DB">
        <w:rPr>
          <w:rFonts w:ascii="Times New Roman" w:hAnsi="Times New Roman" w:cs="Times New Roman"/>
          <w:sz w:val="24"/>
        </w:rPr>
        <w:t>mature on October 1, 1995</w:t>
      </w:r>
      <w:r w:rsidR="00647AFA">
        <w:rPr>
          <w:rFonts w:ascii="Times New Roman" w:hAnsi="Times New Roman" w:cs="Times New Roman"/>
          <w:sz w:val="24"/>
        </w:rPr>
        <w:t>,</w:t>
      </w:r>
      <w:r w:rsidR="00BA42DB">
        <w:rPr>
          <w:rFonts w:ascii="Times New Roman" w:hAnsi="Times New Roman" w:cs="Times New Roman"/>
          <w:sz w:val="24"/>
        </w:rPr>
        <w:t xml:space="preserve"> and the mortgage was recorded on September 25, 1990.</w:t>
      </w:r>
      <w:r w:rsidR="00BA42DB">
        <w:rPr>
          <w:rStyle w:val="FootnoteReference"/>
          <w:rFonts w:ascii="Times New Roman" w:hAnsi="Times New Roman" w:cs="Times New Roman"/>
          <w:sz w:val="24"/>
        </w:rPr>
        <w:footnoteReference w:id="5"/>
      </w:r>
      <w:r w:rsidR="00583684">
        <w:rPr>
          <w:rFonts w:ascii="Times New Roman" w:hAnsi="Times New Roman" w:cs="Times New Roman"/>
          <w:sz w:val="24"/>
        </w:rPr>
        <w:t xml:space="preserve"> Soon after, Defendants defaulted on the mortgage and</w:t>
      </w:r>
      <w:r w:rsidR="009C7E64">
        <w:rPr>
          <w:rFonts w:ascii="Times New Roman" w:hAnsi="Times New Roman" w:cs="Times New Roman"/>
          <w:sz w:val="24"/>
        </w:rPr>
        <w:t xml:space="preserve"> remained in default</w:t>
      </w:r>
      <w:r w:rsidR="00583684">
        <w:rPr>
          <w:rFonts w:ascii="Times New Roman" w:hAnsi="Times New Roman" w:cs="Times New Roman"/>
          <w:sz w:val="24"/>
        </w:rPr>
        <w:t>.</w:t>
      </w:r>
      <w:r w:rsidR="00583684">
        <w:rPr>
          <w:rStyle w:val="FootnoteReference"/>
          <w:rFonts w:ascii="Times New Roman" w:hAnsi="Times New Roman" w:cs="Times New Roman"/>
          <w:sz w:val="24"/>
        </w:rPr>
        <w:footnoteReference w:id="6"/>
      </w:r>
      <w:r w:rsidR="009C7E64">
        <w:rPr>
          <w:rFonts w:ascii="Times New Roman" w:hAnsi="Times New Roman" w:cs="Times New Roman"/>
          <w:sz w:val="24"/>
        </w:rPr>
        <w:t xml:space="preserve"> The mortgage was assigned to </w:t>
      </w:r>
      <w:proofErr w:type="spellStart"/>
      <w:r w:rsidR="009C7E64">
        <w:rPr>
          <w:rFonts w:ascii="Times New Roman" w:hAnsi="Times New Roman" w:cs="Times New Roman"/>
          <w:sz w:val="24"/>
        </w:rPr>
        <w:t>Anim</w:t>
      </w:r>
      <w:proofErr w:type="spellEnd"/>
      <w:r w:rsidR="009C7E64">
        <w:rPr>
          <w:rFonts w:ascii="Times New Roman" w:hAnsi="Times New Roman" w:cs="Times New Roman"/>
          <w:sz w:val="24"/>
        </w:rPr>
        <w:t xml:space="preserve"> Investment Company (Plaintiff) on October 14, 1997</w:t>
      </w:r>
      <w:r w:rsidR="00647AFA">
        <w:rPr>
          <w:rFonts w:ascii="Times New Roman" w:hAnsi="Times New Roman" w:cs="Times New Roman"/>
          <w:sz w:val="24"/>
        </w:rPr>
        <w:t>,</w:t>
      </w:r>
      <w:r w:rsidR="009C7E64">
        <w:rPr>
          <w:rFonts w:ascii="Times New Roman" w:hAnsi="Times New Roman" w:cs="Times New Roman"/>
          <w:sz w:val="24"/>
        </w:rPr>
        <w:t xml:space="preserve"> and recorded October 22, 1997.</w:t>
      </w:r>
      <w:r w:rsidR="009C7E64">
        <w:rPr>
          <w:rStyle w:val="FootnoteReference"/>
          <w:rFonts w:ascii="Times New Roman" w:hAnsi="Times New Roman" w:cs="Times New Roman"/>
          <w:sz w:val="24"/>
        </w:rPr>
        <w:footnoteReference w:id="7"/>
      </w:r>
      <w:r w:rsidR="00F635D2">
        <w:rPr>
          <w:rFonts w:ascii="Times New Roman" w:hAnsi="Times New Roman" w:cs="Times New Roman"/>
          <w:sz w:val="24"/>
        </w:rPr>
        <w:t xml:space="preserve"> </w:t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F635D2" w:rsidRDefault="009C7E64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February 12, 2015, Plaintiff commenced a fo</w:t>
      </w:r>
      <w:r w:rsidR="00F635D2">
        <w:rPr>
          <w:rFonts w:ascii="Times New Roman" w:hAnsi="Times New Roman" w:cs="Times New Roman"/>
          <w:sz w:val="24"/>
        </w:rPr>
        <w:t>reclosure action under the Fair Foreclosure Act</w:t>
      </w:r>
      <w:r w:rsidR="00CC7783">
        <w:rPr>
          <w:rFonts w:ascii="Times New Roman" w:hAnsi="Times New Roman" w:cs="Times New Roman"/>
          <w:sz w:val="24"/>
        </w:rPr>
        <w:t xml:space="preserve"> in</w:t>
      </w:r>
      <w:r w:rsidR="004A70F5">
        <w:rPr>
          <w:rFonts w:ascii="Times New Roman" w:hAnsi="Times New Roman" w:cs="Times New Roman"/>
          <w:sz w:val="24"/>
        </w:rPr>
        <w:t xml:space="preserve"> the Chancery Division</w:t>
      </w:r>
      <w:r w:rsidR="00F635D2">
        <w:rPr>
          <w:rFonts w:ascii="Times New Roman" w:hAnsi="Times New Roman" w:cs="Times New Roman"/>
          <w:sz w:val="24"/>
        </w:rPr>
        <w:t>.</w:t>
      </w:r>
      <w:r w:rsidR="00F635D2">
        <w:rPr>
          <w:rStyle w:val="FootnoteReference"/>
          <w:rFonts w:ascii="Times New Roman" w:hAnsi="Times New Roman" w:cs="Times New Roman"/>
          <w:sz w:val="24"/>
        </w:rPr>
        <w:footnoteReference w:id="8"/>
      </w:r>
      <w:r w:rsidR="00F635D2">
        <w:rPr>
          <w:rFonts w:ascii="Times New Roman" w:hAnsi="Times New Roman" w:cs="Times New Roman"/>
          <w:sz w:val="24"/>
        </w:rPr>
        <w:t xml:space="preserve"> In response, Defendants argued the suit was barred under the statute of limitations pursuant to N.J.S. 2A:50-56.1.</w:t>
      </w:r>
      <w:r w:rsidR="00F635D2">
        <w:rPr>
          <w:rStyle w:val="FootnoteReference"/>
          <w:rFonts w:ascii="Times New Roman" w:hAnsi="Times New Roman" w:cs="Times New Roman"/>
          <w:sz w:val="24"/>
        </w:rPr>
        <w:footnoteReference w:id="9"/>
      </w:r>
      <w:r w:rsidR="00B26A94">
        <w:rPr>
          <w:rFonts w:ascii="Times New Roman" w:hAnsi="Times New Roman" w:cs="Times New Roman"/>
          <w:sz w:val="24"/>
        </w:rPr>
        <w:t xml:space="preserve">  Defendants also argued that this provision was retroactive given that the statute took effect in 2009 and the actions giving r</w:t>
      </w:r>
      <w:r w:rsidR="004A70F5">
        <w:rPr>
          <w:rFonts w:ascii="Times New Roman" w:hAnsi="Times New Roman" w:cs="Times New Roman"/>
          <w:sz w:val="24"/>
        </w:rPr>
        <w:t>ise to the suit occurred prior</w:t>
      </w:r>
      <w:r w:rsidR="00EF0E38">
        <w:rPr>
          <w:rFonts w:ascii="Times New Roman" w:hAnsi="Times New Roman" w:cs="Times New Roman"/>
          <w:sz w:val="24"/>
        </w:rPr>
        <w:t xml:space="preserve"> to that time</w:t>
      </w:r>
      <w:r w:rsidR="00B26A94">
        <w:rPr>
          <w:rFonts w:ascii="Times New Roman" w:hAnsi="Times New Roman" w:cs="Times New Roman"/>
          <w:sz w:val="24"/>
        </w:rPr>
        <w:t>.</w:t>
      </w:r>
      <w:r w:rsidR="00B26A94">
        <w:rPr>
          <w:rStyle w:val="FootnoteReference"/>
          <w:rFonts w:ascii="Times New Roman" w:hAnsi="Times New Roman" w:cs="Times New Roman"/>
          <w:sz w:val="24"/>
        </w:rPr>
        <w:footnoteReference w:id="10"/>
      </w:r>
      <w:r w:rsidR="004A70F5">
        <w:rPr>
          <w:rFonts w:ascii="Times New Roman" w:hAnsi="Times New Roman" w:cs="Times New Roman"/>
          <w:sz w:val="24"/>
        </w:rPr>
        <w:t xml:space="preserve"> </w:t>
      </w:r>
    </w:p>
    <w:p w:rsidR="00DC326B" w:rsidRDefault="00DC326B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90174C" w:rsidRDefault="004A70F5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Chancery Division held that the statute met the conditions for retroactive application pursuant to New Jersey Supreme Court case law.</w:t>
      </w:r>
      <w:r>
        <w:rPr>
          <w:rStyle w:val="FootnoteReference"/>
          <w:rFonts w:ascii="Times New Roman" w:hAnsi="Times New Roman" w:cs="Times New Roman"/>
          <w:sz w:val="24"/>
        </w:rPr>
        <w:footnoteReference w:id="11"/>
      </w:r>
      <w:r w:rsidR="00934468">
        <w:rPr>
          <w:rFonts w:ascii="Times New Roman" w:hAnsi="Times New Roman" w:cs="Times New Roman"/>
          <w:sz w:val="24"/>
        </w:rPr>
        <w:t xml:space="preserve"> </w:t>
      </w:r>
      <w:r w:rsidR="00840490">
        <w:rPr>
          <w:rFonts w:ascii="Times New Roman" w:hAnsi="Times New Roman" w:cs="Times New Roman"/>
          <w:sz w:val="24"/>
        </w:rPr>
        <w:t xml:space="preserve">According </w:t>
      </w:r>
      <w:r w:rsidR="00D15A8A">
        <w:rPr>
          <w:rFonts w:ascii="Times New Roman" w:hAnsi="Times New Roman" w:cs="Times New Roman"/>
          <w:sz w:val="24"/>
        </w:rPr>
        <w:t>to the cases</w:t>
      </w:r>
      <w:r w:rsidR="0090174C">
        <w:rPr>
          <w:rFonts w:ascii="Times New Roman" w:hAnsi="Times New Roman" w:cs="Times New Roman"/>
          <w:sz w:val="24"/>
        </w:rPr>
        <w:t>, the two-part test to determine whether a statute could be retroactively applied was:</w:t>
      </w:r>
    </w:p>
    <w:p w:rsidR="00265C30" w:rsidRDefault="00265C30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90174C" w:rsidRDefault="0090174C" w:rsidP="00DC326B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Whether the Legislature intended to give the statute retroactive application; and</w:t>
      </w:r>
    </w:p>
    <w:p w:rsidR="0090174C" w:rsidRDefault="0090174C" w:rsidP="00DC326B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Whether retroactive application of that statute will result in either an unconstitutional interference with ‘vested rights’ or a ‘manifest injustice’</w:t>
      </w:r>
      <w:r>
        <w:rPr>
          <w:rStyle w:val="FootnoteReference"/>
          <w:rFonts w:ascii="Times New Roman" w:hAnsi="Times New Roman" w:cs="Times New Roman"/>
          <w:sz w:val="24"/>
        </w:rPr>
        <w:footnoteReference w:id="12"/>
      </w:r>
    </w:p>
    <w:p w:rsidR="00E55C06" w:rsidRPr="00E55C06" w:rsidRDefault="00E55C06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4E2827" w:rsidRDefault="00063A5E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elaborating on the above tes</w:t>
      </w:r>
      <w:r w:rsidR="00E55C06">
        <w:rPr>
          <w:rFonts w:ascii="Times New Roman" w:hAnsi="Times New Roman" w:cs="Times New Roman"/>
          <w:sz w:val="24"/>
        </w:rPr>
        <w:t>t, the New Jersey Supreme Court in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 re D.C.</w:t>
      </w:r>
      <w:r>
        <w:rPr>
          <w:rFonts w:ascii="Times New Roman" w:hAnsi="Times New Roman" w:cs="Times New Roman"/>
          <w:sz w:val="24"/>
        </w:rPr>
        <w:t xml:space="preserve">, stated there are three </w:t>
      </w:r>
      <w:r w:rsidR="00C61E3E">
        <w:rPr>
          <w:rFonts w:ascii="Times New Roman" w:hAnsi="Times New Roman" w:cs="Times New Roman"/>
          <w:sz w:val="24"/>
        </w:rPr>
        <w:t>situations</w:t>
      </w:r>
      <w:r>
        <w:rPr>
          <w:rFonts w:ascii="Times New Roman" w:hAnsi="Times New Roman" w:cs="Times New Roman"/>
          <w:sz w:val="24"/>
        </w:rPr>
        <w:t xml:space="preserve"> where a statut</w:t>
      </w:r>
      <w:r w:rsidR="004E2827">
        <w:rPr>
          <w:rFonts w:ascii="Times New Roman" w:hAnsi="Times New Roman" w:cs="Times New Roman"/>
          <w:sz w:val="24"/>
        </w:rPr>
        <w:t>e will be retroactively applied:</w:t>
      </w:r>
    </w:p>
    <w:p w:rsidR="00265C30" w:rsidRDefault="00265C30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B41A25" w:rsidRPr="00D963B8" w:rsidRDefault="00B41A25" w:rsidP="00DC326B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D963B8">
        <w:rPr>
          <w:rFonts w:ascii="Times New Roman" w:hAnsi="Times New Roman" w:cs="Times New Roman"/>
          <w:sz w:val="24"/>
        </w:rPr>
        <w:t>The Legislature, either implicitly or explicitly, declares its intention to make a statute retroactive;</w:t>
      </w:r>
    </w:p>
    <w:p w:rsidR="005816D0" w:rsidRDefault="005816D0" w:rsidP="00DC326B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statute was meant to be curative; and</w:t>
      </w:r>
    </w:p>
    <w:p w:rsidR="00063A5E" w:rsidRDefault="005816D0" w:rsidP="00DC326B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265C30">
        <w:rPr>
          <w:rFonts w:ascii="Times New Roman" w:hAnsi="Times New Roman" w:cs="Times New Roman"/>
          <w:sz w:val="24"/>
        </w:rPr>
        <w:t>expectations of the parties requires retroactive application</w:t>
      </w:r>
      <w:r w:rsidR="00063A5E">
        <w:rPr>
          <w:rStyle w:val="FootnoteReference"/>
          <w:rFonts w:ascii="Times New Roman" w:hAnsi="Times New Roman" w:cs="Times New Roman"/>
          <w:sz w:val="24"/>
        </w:rPr>
        <w:footnoteReference w:id="13"/>
      </w:r>
    </w:p>
    <w:p w:rsidR="00265C30" w:rsidRDefault="00265C30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EB5F5B" w:rsidRDefault="00984B44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EB5F5B">
        <w:rPr>
          <w:rFonts w:ascii="Times New Roman" w:hAnsi="Times New Roman" w:cs="Times New Roman"/>
          <w:sz w:val="24"/>
        </w:rPr>
        <w:t>Chancery Division judge</w:t>
      </w:r>
      <w:r>
        <w:rPr>
          <w:rFonts w:ascii="Times New Roman" w:hAnsi="Times New Roman" w:cs="Times New Roman"/>
          <w:sz w:val="24"/>
        </w:rPr>
        <w:t xml:space="preserve"> also</w:t>
      </w:r>
      <w:r w:rsidR="00EB5F5B">
        <w:rPr>
          <w:rFonts w:ascii="Times New Roman" w:hAnsi="Times New Roman" w:cs="Times New Roman"/>
          <w:sz w:val="24"/>
        </w:rPr>
        <w:t xml:space="preserve"> </w:t>
      </w:r>
      <w:r w:rsidR="00F5719B">
        <w:rPr>
          <w:rFonts w:ascii="Times New Roman" w:hAnsi="Times New Roman" w:cs="Times New Roman"/>
          <w:sz w:val="24"/>
        </w:rPr>
        <w:t>observed</w:t>
      </w:r>
      <w:r w:rsidR="00EB5F5B">
        <w:rPr>
          <w:rFonts w:ascii="Times New Roman" w:hAnsi="Times New Roman" w:cs="Times New Roman"/>
          <w:sz w:val="24"/>
        </w:rPr>
        <w:t xml:space="preserve"> that “the legislature did not specify whether the statute </w:t>
      </w:r>
      <w:r w:rsidR="00F5719B">
        <w:rPr>
          <w:rFonts w:ascii="Times New Roman" w:hAnsi="Times New Roman" w:cs="Times New Roman"/>
          <w:sz w:val="24"/>
        </w:rPr>
        <w:t>should be applied retroactively</w:t>
      </w:r>
      <w:r w:rsidR="00EB5F5B">
        <w:rPr>
          <w:rFonts w:ascii="Times New Roman" w:hAnsi="Times New Roman" w:cs="Times New Roman"/>
          <w:sz w:val="24"/>
        </w:rPr>
        <w:t>”</w:t>
      </w:r>
      <w:r w:rsidR="00F5719B">
        <w:rPr>
          <w:rFonts w:ascii="Times New Roman" w:hAnsi="Times New Roman" w:cs="Times New Roman"/>
          <w:sz w:val="24"/>
        </w:rPr>
        <w:t xml:space="preserve"> and believed </w:t>
      </w:r>
      <w:r w:rsidR="00BF3C0D">
        <w:rPr>
          <w:rFonts w:ascii="Times New Roman" w:hAnsi="Times New Roman" w:cs="Times New Roman"/>
          <w:sz w:val="24"/>
        </w:rPr>
        <w:t>it</w:t>
      </w:r>
      <w:r w:rsidR="00F5719B">
        <w:rPr>
          <w:rFonts w:ascii="Times New Roman" w:hAnsi="Times New Roman" w:cs="Times New Roman"/>
          <w:sz w:val="24"/>
        </w:rPr>
        <w:t xml:space="preserve"> was intended to be curative by providing guidance on an issue </w:t>
      </w:r>
      <w:r w:rsidR="00880DF5">
        <w:rPr>
          <w:rFonts w:ascii="Times New Roman" w:hAnsi="Times New Roman" w:cs="Times New Roman"/>
          <w:sz w:val="24"/>
        </w:rPr>
        <w:t>that was not previously addressed</w:t>
      </w:r>
      <w:r w:rsidR="00A629DF">
        <w:rPr>
          <w:rFonts w:ascii="Times New Roman" w:hAnsi="Times New Roman" w:cs="Times New Roman"/>
          <w:sz w:val="24"/>
        </w:rPr>
        <w:t xml:space="preserve">. </w:t>
      </w:r>
      <w:r w:rsidR="00880DF5">
        <w:rPr>
          <w:rFonts w:ascii="Times New Roman" w:hAnsi="Times New Roman" w:cs="Times New Roman"/>
          <w:sz w:val="24"/>
        </w:rPr>
        <w:t>Furthermore, it was noted that Plaintiffs had been unable to demonstrate why retroactive application would cause a manifest injustice or why Defendants’ expectations did not warrant retroactive application.</w:t>
      </w:r>
      <w:r w:rsidR="00EB5F5B">
        <w:rPr>
          <w:rStyle w:val="FootnoteReference"/>
          <w:rFonts w:ascii="Times New Roman" w:hAnsi="Times New Roman" w:cs="Times New Roman"/>
          <w:sz w:val="24"/>
        </w:rPr>
        <w:footnoteReference w:id="14"/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880DF5" w:rsidRDefault="00880DF5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A05AA">
        <w:rPr>
          <w:rFonts w:ascii="Times New Roman" w:hAnsi="Times New Roman" w:cs="Times New Roman"/>
          <w:sz w:val="24"/>
        </w:rPr>
        <w:t>Turning to the case before him, th</w:t>
      </w:r>
      <w:r w:rsidR="00215F7B">
        <w:rPr>
          <w:rFonts w:ascii="Times New Roman" w:hAnsi="Times New Roman" w:cs="Times New Roman"/>
          <w:sz w:val="24"/>
        </w:rPr>
        <w:t>e Chancery Division judge observed that the mortgage would reach maturity on October 1, 1995.</w:t>
      </w:r>
      <w:r w:rsidR="00215F7B">
        <w:rPr>
          <w:rStyle w:val="FootnoteReference"/>
          <w:rFonts w:ascii="Times New Roman" w:hAnsi="Times New Roman" w:cs="Times New Roman"/>
          <w:sz w:val="24"/>
        </w:rPr>
        <w:footnoteReference w:id="15"/>
      </w:r>
      <w:r w:rsidR="00656B0D">
        <w:rPr>
          <w:rFonts w:ascii="Times New Roman" w:hAnsi="Times New Roman" w:cs="Times New Roman"/>
          <w:sz w:val="24"/>
        </w:rPr>
        <w:t xml:space="preserve"> Given this, he applied N.J.S. 2A:50-56.1(a), the portion of the statute imposing a 6 year statute of limitations on foreclosure actions for mortgages with a fixed date of maturity, and held the suit was </w:t>
      </w:r>
      <w:r w:rsidR="009962D4">
        <w:rPr>
          <w:rFonts w:ascii="Times New Roman" w:hAnsi="Times New Roman" w:cs="Times New Roman"/>
          <w:sz w:val="24"/>
        </w:rPr>
        <w:t>time-</w:t>
      </w:r>
      <w:r w:rsidR="00656B0D">
        <w:rPr>
          <w:rFonts w:ascii="Times New Roman" w:hAnsi="Times New Roman" w:cs="Times New Roman"/>
          <w:sz w:val="24"/>
        </w:rPr>
        <w:t>barred.</w:t>
      </w:r>
      <w:r w:rsidR="00656B0D">
        <w:rPr>
          <w:rStyle w:val="FootnoteReference"/>
          <w:rFonts w:ascii="Times New Roman" w:hAnsi="Times New Roman" w:cs="Times New Roman"/>
          <w:sz w:val="24"/>
        </w:rPr>
        <w:footnoteReference w:id="16"/>
      </w:r>
      <w:r w:rsidR="009962D4">
        <w:rPr>
          <w:rFonts w:ascii="Times New Roman" w:hAnsi="Times New Roman" w:cs="Times New Roman"/>
          <w:sz w:val="24"/>
        </w:rPr>
        <w:t xml:space="preserve"> Plaintiff, had </w:t>
      </w:r>
      <w:r w:rsidR="00984B44">
        <w:rPr>
          <w:rFonts w:ascii="Times New Roman" w:hAnsi="Times New Roman" w:cs="Times New Roman"/>
          <w:sz w:val="24"/>
        </w:rPr>
        <w:t xml:space="preserve">it </w:t>
      </w:r>
      <w:r w:rsidR="009962D4">
        <w:rPr>
          <w:rFonts w:ascii="Times New Roman" w:hAnsi="Times New Roman" w:cs="Times New Roman"/>
          <w:sz w:val="24"/>
        </w:rPr>
        <w:t xml:space="preserve">wanted to bring suit, should have </w:t>
      </w:r>
      <w:r w:rsidR="00E05886">
        <w:rPr>
          <w:rFonts w:ascii="Times New Roman" w:hAnsi="Times New Roman" w:cs="Times New Roman"/>
          <w:sz w:val="24"/>
        </w:rPr>
        <w:t>filed</w:t>
      </w:r>
      <w:r w:rsidR="009962D4">
        <w:rPr>
          <w:rFonts w:ascii="Times New Roman" w:hAnsi="Times New Roman" w:cs="Times New Roman"/>
          <w:sz w:val="24"/>
        </w:rPr>
        <w:t xml:space="preserve"> between October 1, 1995 and October 1, 2001.</w:t>
      </w:r>
      <w:r w:rsidR="003F7188">
        <w:rPr>
          <w:rStyle w:val="FootnoteReference"/>
          <w:rFonts w:ascii="Times New Roman" w:hAnsi="Times New Roman" w:cs="Times New Roman"/>
          <w:sz w:val="24"/>
        </w:rPr>
        <w:footnoteReference w:id="17"/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291500" w:rsidRDefault="00291500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306D7">
        <w:rPr>
          <w:rFonts w:ascii="Times New Roman" w:hAnsi="Times New Roman" w:cs="Times New Roman"/>
          <w:sz w:val="24"/>
        </w:rPr>
        <w:t>On appeal, Plaintiff argued retroactive application of N.J.S. 2A:50-56.1(a) was in error.</w:t>
      </w:r>
      <w:r w:rsidR="001306D7">
        <w:rPr>
          <w:rStyle w:val="FootnoteReference"/>
          <w:rFonts w:ascii="Times New Roman" w:hAnsi="Times New Roman" w:cs="Times New Roman"/>
          <w:sz w:val="24"/>
        </w:rPr>
        <w:footnoteReference w:id="18"/>
      </w:r>
      <w:r w:rsidR="003F3399">
        <w:rPr>
          <w:rFonts w:ascii="Times New Roman" w:hAnsi="Times New Roman" w:cs="Times New Roman"/>
          <w:sz w:val="24"/>
        </w:rPr>
        <w:t xml:space="preserve">  </w:t>
      </w:r>
      <w:r w:rsidR="00D15A8A">
        <w:rPr>
          <w:rFonts w:ascii="Times New Roman" w:hAnsi="Times New Roman" w:cs="Times New Roman"/>
          <w:sz w:val="24"/>
        </w:rPr>
        <w:t>It claimed that t</w:t>
      </w:r>
      <w:r w:rsidR="003F3399">
        <w:rPr>
          <w:rFonts w:ascii="Times New Roman" w:hAnsi="Times New Roman" w:cs="Times New Roman"/>
          <w:sz w:val="24"/>
        </w:rPr>
        <w:t>he statute of limitations applicable to this case</w:t>
      </w:r>
      <w:r w:rsidR="003C041F">
        <w:rPr>
          <w:rFonts w:ascii="Times New Roman" w:hAnsi="Times New Roman" w:cs="Times New Roman"/>
          <w:sz w:val="24"/>
        </w:rPr>
        <w:t xml:space="preserve"> </w:t>
      </w:r>
      <w:r w:rsidR="003F3399">
        <w:rPr>
          <w:rFonts w:ascii="Times New Roman" w:hAnsi="Times New Roman" w:cs="Times New Roman"/>
          <w:sz w:val="24"/>
        </w:rPr>
        <w:t>was the 20</w:t>
      </w:r>
      <w:r w:rsidR="005E15D5">
        <w:rPr>
          <w:rFonts w:ascii="Times New Roman" w:hAnsi="Times New Roman" w:cs="Times New Roman"/>
          <w:sz w:val="24"/>
        </w:rPr>
        <w:t>-</w:t>
      </w:r>
      <w:r w:rsidR="003F3399">
        <w:rPr>
          <w:rFonts w:ascii="Times New Roman" w:hAnsi="Times New Roman" w:cs="Times New Roman"/>
          <w:sz w:val="24"/>
        </w:rPr>
        <w:t xml:space="preserve">year </w:t>
      </w:r>
      <w:r w:rsidR="00ED0641">
        <w:rPr>
          <w:rFonts w:ascii="Times New Roman" w:hAnsi="Times New Roman" w:cs="Times New Roman"/>
          <w:sz w:val="24"/>
        </w:rPr>
        <w:t>window</w:t>
      </w:r>
      <w:r w:rsidR="003F3399">
        <w:rPr>
          <w:rFonts w:ascii="Times New Roman" w:hAnsi="Times New Roman" w:cs="Times New Roman"/>
          <w:sz w:val="24"/>
        </w:rPr>
        <w:t xml:space="preserve"> </w:t>
      </w:r>
      <w:r w:rsidR="00984B44">
        <w:rPr>
          <w:rFonts w:ascii="Times New Roman" w:hAnsi="Times New Roman" w:cs="Times New Roman"/>
          <w:sz w:val="24"/>
        </w:rPr>
        <w:t>outlined</w:t>
      </w:r>
      <w:r w:rsidR="003F3399">
        <w:rPr>
          <w:rFonts w:ascii="Times New Roman" w:hAnsi="Times New Roman" w:cs="Times New Roman"/>
          <w:sz w:val="24"/>
        </w:rPr>
        <w:t xml:space="preserve"> in </w:t>
      </w:r>
      <w:r w:rsidR="003F3399">
        <w:rPr>
          <w:rFonts w:ascii="Times New Roman" w:hAnsi="Times New Roman" w:cs="Times New Roman"/>
          <w:i/>
          <w:sz w:val="24"/>
        </w:rPr>
        <w:t xml:space="preserve">Security Nat’l Partners Ltd. </w:t>
      </w:r>
      <w:proofErr w:type="spellStart"/>
      <w:r w:rsidR="003F3399">
        <w:rPr>
          <w:rFonts w:ascii="Times New Roman" w:hAnsi="Times New Roman" w:cs="Times New Roman"/>
          <w:i/>
          <w:sz w:val="24"/>
        </w:rPr>
        <w:t>P’ship</w:t>
      </w:r>
      <w:proofErr w:type="spellEnd"/>
      <w:r w:rsidR="003F3399">
        <w:rPr>
          <w:rFonts w:ascii="Times New Roman" w:hAnsi="Times New Roman" w:cs="Times New Roman"/>
          <w:i/>
          <w:sz w:val="24"/>
        </w:rPr>
        <w:t xml:space="preserve"> v. Mahler</w:t>
      </w:r>
      <w:r w:rsidR="00B74A8C">
        <w:rPr>
          <w:rFonts w:ascii="Times New Roman" w:hAnsi="Times New Roman" w:cs="Times New Roman"/>
          <w:sz w:val="24"/>
        </w:rPr>
        <w:t>, 336 N.J. Super. 101 (App. Div. 2000).</w:t>
      </w:r>
      <w:r w:rsidR="00B74A8C">
        <w:rPr>
          <w:rStyle w:val="FootnoteReference"/>
          <w:rFonts w:ascii="Times New Roman" w:hAnsi="Times New Roman" w:cs="Times New Roman"/>
          <w:sz w:val="24"/>
        </w:rPr>
        <w:footnoteReference w:id="19"/>
      </w:r>
      <w:r w:rsidR="003C041F">
        <w:rPr>
          <w:rFonts w:ascii="Times New Roman" w:hAnsi="Times New Roman" w:cs="Times New Roman"/>
          <w:sz w:val="24"/>
        </w:rPr>
        <w:t xml:space="preserve"> To hold otherwise would deprive Plaintiff of a right it had prior to enactment of the statute</w:t>
      </w:r>
      <w:r w:rsidR="00D15A29">
        <w:rPr>
          <w:rFonts w:ascii="Times New Roman" w:hAnsi="Times New Roman" w:cs="Times New Roman"/>
          <w:sz w:val="24"/>
        </w:rPr>
        <w:t xml:space="preserve"> in 2009</w:t>
      </w:r>
      <w:r w:rsidR="003C041F">
        <w:rPr>
          <w:rFonts w:ascii="Times New Roman" w:hAnsi="Times New Roman" w:cs="Times New Roman"/>
          <w:sz w:val="24"/>
        </w:rPr>
        <w:t>.</w:t>
      </w:r>
      <w:r w:rsidR="003C041F">
        <w:rPr>
          <w:rStyle w:val="FootnoteReference"/>
          <w:rFonts w:ascii="Times New Roman" w:hAnsi="Times New Roman" w:cs="Times New Roman"/>
          <w:sz w:val="24"/>
        </w:rPr>
        <w:footnoteReference w:id="20"/>
      </w:r>
    </w:p>
    <w:p w:rsidR="00D15A29" w:rsidRDefault="00D15A29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D15A29" w:rsidRDefault="000D684A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The Appellate Division first noted that “[n]o published case has interpreted the limitations provision of N.J.S. 2A:50-56.1(a).</w:t>
      </w:r>
      <w:r>
        <w:rPr>
          <w:rStyle w:val="FootnoteReference"/>
          <w:rFonts w:ascii="Times New Roman" w:hAnsi="Times New Roman" w:cs="Times New Roman"/>
          <w:sz w:val="24"/>
        </w:rPr>
        <w:footnoteReference w:id="21"/>
      </w:r>
      <w:r w:rsidR="005705B7">
        <w:rPr>
          <w:rFonts w:ascii="Times New Roman" w:hAnsi="Times New Roman" w:cs="Times New Roman"/>
          <w:sz w:val="24"/>
        </w:rPr>
        <w:t xml:space="preserve"> It also noted that generally, a newly enacted law is applied </w:t>
      </w:r>
      <w:r w:rsidR="005705B7" w:rsidRPr="005705B7">
        <w:rPr>
          <w:rFonts w:ascii="Times New Roman" w:hAnsi="Times New Roman" w:cs="Times New Roman"/>
          <w:sz w:val="24"/>
        </w:rPr>
        <w:t>prospectively</w:t>
      </w:r>
      <w:r w:rsidR="005705B7">
        <w:rPr>
          <w:rFonts w:ascii="Times New Roman" w:hAnsi="Times New Roman" w:cs="Times New Roman"/>
          <w:sz w:val="24"/>
        </w:rPr>
        <w:t>.</w:t>
      </w:r>
      <w:r w:rsidR="005705B7">
        <w:rPr>
          <w:rStyle w:val="FootnoteReference"/>
          <w:rFonts w:ascii="Times New Roman" w:hAnsi="Times New Roman" w:cs="Times New Roman"/>
          <w:sz w:val="24"/>
        </w:rPr>
        <w:footnoteReference w:id="22"/>
      </w:r>
      <w:r w:rsidR="00ED6F44">
        <w:rPr>
          <w:rFonts w:ascii="Times New Roman" w:hAnsi="Times New Roman" w:cs="Times New Roman"/>
          <w:sz w:val="24"/>
        </w:rPr>
        <w:t xml:space="preserve">  However, the Court qualified this by </w:t>
      </w:r>
      <w:r w:rsidR="00984B44">
        <w:rPr>
          <w:rFonts w:ascii="Times New Roman" w:hAnsi="Times New Roman" w:cs="Times New Roman"/>
          <w:sz w:val="24"/>
        </w:rPr>
        <w:t>stating</w:t>
      </w:r>
      <w:r w:rsidR="00ED6F44">
        <w:rPr>
          <w:rFonts w:ascii="Times New Roman" w:hAnsi="Times New Roman" w:cs="Times New Roman"/>
          <w:sz w:val="24"/>
        </w:rPr>
        <w:t xml:space="preserve"> this is simply one rule of statutory interpretation that aids courts as they discern legislative intent</w:t>
      </w:r>
      <w:r w:rsidR="00C1474B">
        <w:rPr>
          <w:rFonts w:ascii="Times New Roman" w:hAnsi="Times New Roman" w:cs="Times New Roman"/>
          <w:sz w:val="24"/>
        </w:rPr>
        <w:t>,</w:t>
      </w:r>
      <w:r w:rsidR="00ED6F44">
        <w:rPr>
          <w:rFonts w:ascii="Times New Roman" w:hAnsi="Times New Roman" w:cs="Times New Roman"/>
          <w:sz w:val="24"/>
        </w:rPr>
        <w:t xml:space="preserve"> not</w:t>
      </w:r>
      <w:r w:rsidR="00C1474B">
        <w:rPr>
          <w:rFonts w:ascii="Times New Roman" w:hAnsi="Times New Roman" w:cs="Times New Roman"/>
          <w:sz w:val="24"/>
        </w:rPr>
        <w:t xml:space="preserve"> a rule that is</w:t>
      </w:r>
      <w:r w:rsidR="00ED6F44">
        <w:rPr>
          <w:rFonts w:ascii="Times New Roman" w:hAnsi="Times New Roman" w:cs="Times New Roman"/>
          <w:sz w:val="24"/>
        </w:rPr>
        <w:t xml:space="preserve"> </w:t>
      </w:r>
      <w:r w:rsidR="00F051D3">
        <w:rPr>
          <w:rFonts w:ascii="Times New Roman" w:hAnsi="Times New Roman" w:cs="Times New Roman"/>
          <w:sz w:val="24"/>
        </w:rPr>
        <w:t>applied mechanically</w:t>
      </w:r>
      <w:r w:rsidR="00C1474B">
        <w:rPr>
          <w:rFonts w:ascii="Times New Roman" w:hAnsi="Times New Roman" w:cs="Times New Roman"/>
          <w:sz w:val="24"/>
        </w:rPr>
        <w:t xml:space="preserve"> as there are scenarios where retroactive application can occur</w:t>
      </w:r>
      <w:r w:rsidR="00ED6F44">
        <w:rPr>
          <w:rFonts w:ascii="Times New Roman" w:hAnsi="Times New Roman" w:cs="Times New Roman"/>
          <w:sz w:val="24"/>
        </w:rPr>
        <w:t>.</w:t>
      </w:r>
      <w:r w:rsidR="00ED6F44">
        <w:rPr>
          <w:rStyle w:val="FootnoteReference"/>
          <w:rFonts w:ascii="Times New Roman" w:hAnsi="Times New Roman" w:cs="Times New Roman"/>
          <w:sz w:val="24"/>
        </w:rPr>
        <w:footnoteReference w:id="23"/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8D5372" w:rsidRDefault="00452897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E1EA7">
        <w:rPr>
          <w:rFonts w:ascii="Times New Roman" w:hAnsi="Times New Roman" w:cs="Times New Roman"/>
          <w:sz w:val="24"/>
        </w:rPr>
        <w:t xml:space="preserve">Turning to the case before it, the Appellate </w:t>
      </w:r>
      <w:r w:rsidR="006329E5">
        <w:rPr>
          <w:rFonts w:ascii="Times New Roman" w:hAnsi="Times New Roman" w:cs="Times New Roman"/>
          <w:sz w:val="24"/>
        </w:rPr>
        <w:t>D</w:t>
      </w:r>
      <w:r w:rsidR="007E1EA7">
        <w:rPr>
          <w:rFonts w:ascii="Times New Roman" w:hAnsi="Times New Roman" w:cs="Times New Roman"/>
          <w:sz w:val="24"/>
        </w:rPr>
        <w:t xml:space="preserve">ivision </w:t>
      </w:r>
      <w:r w:rsidR="00723EAD">
        <w:rPr>
          <w:rFonts w:ascii="Times New Roman" w:hAnsi="Times New Roman" w:cs="Times New Roman"/>
          <w:sz w:val="24"/>
        </w:rPr>
        <w:t xml:space="preserve">agreed that N.J.S. 2A:50-56.1 was intended to be curative and </w:t>
      </w:r>
      <w:r w:rsidR="00B038E5">
        <w:rPr>
          <w:rFonts w:ascii="Times New Roman" w:hAnsi="Times New Roman" w:cs="Times New Roman"/>
          <w:sz w:val="24"/>
        </w:rPr>
        <w:t xml:space="preserve">provide guidance on an issue that had previously gone unaddressed by New Jersey </w:t>
      </w:r>
      <w:r w:rsidR="006329E5">
        <w:rPr>
          <w:rFonts w:ascii="Times New Roman" w:hAnsi="Times New Roman" w:cs="Times New Roman"/>
          <w:sz w:val="24"/>
        </w:rPr>
        <w:t>s</w:t>
      </w:r>
      <w:r w:rsidR="00B038E5">
        <w:rPr>
          <w:rFonts w:ascii="Times New Roman" w:hAnsi="Times New Roman" w:cs="Times New Roman"/>
          <w:sz w:val="24"/>
        </w:rPr>
        <w:t>tatutes.</w:t>
      </w:r>
      <w:r w:rsidR="00B038E5">
        <w:rPr>
          <w:rStyle w:val="FootnoteReference"/>
          <w:rFonts w:ascii="Times New Roman" w:hAnsi="Times New Roman" w:cs="Times New Roman"/>
          <w:sz w:val="24"/>
        </w:rPr>
        <w:footnoteReference w:id="24"/>
      </w:r>
      <w:r w:rsidR="00B038E5">
        <w:rPr>
          <w:rFonts w:ascii="Times New Roman" w:hAnsi="Times New Roman" w:cs="Times New Roman"/>
          <w:sz w:val="24"/>
        </w:rPr>
        <w:t xml:space="preserve"> Furthermore, the Court found party expectations warranted retroactive application of the statute and there would be no manifest injustice by doing so.</w:t>
      </w:r>
      <w:r w:rsidR="00B038E5">
        <w:rPr>
          <w:rStyle w:val="FootnoteReference"/>
          <w:rFonts w:ascii="Times New Roman" w:hAnsi="Times New Roman" w:cs="Times New Roman"/>
          <w:sz w:val="24"/>
        </w:rPr>
        <w:footnoteReference w:id="25"/>
      </w:r>
      <w:r w:rsidR="00F21CF7">
        <w:rPr>
          <w:rFonts w:ascii="Times New Roman" w:hAnsi="Times New Roman" w:cs="Times New Roman"/>
          <w:sz w:val="24"/>
        </w:rPr>
        <w:t xml:space="preserve"> </w:t>
      </w:r>
      <w:r w:rsidR="00AD1AE7">
        <w:rPr>
          <w:rFonts w:ascii="Times New Roman" w:hAnsi="Times New Roman" w:cs="Times New Roman"/>
          <w:sz w:val="24"/>
        </w:rPr>
        <w:t xml:space="preserve">In applying subsection (a) to the foreclosure action </w:t>
      </w:r>
      <w:r w:rsidR="00E05886">
        <w:rPr>
          <w:rFonts w:ascii="Times New Roman" w:hAnsi="Times New Roman" w:cs="Times New Roman"/>
          <w:sz w:val="24"/>
        </w:rPr>
        <w:t>in question</w:t>
      </w:r>
      <w:r w:rsidR="00AD1AE7">
        <w:rPr>
          <w:rFonts w:ascii="Times New Roman" w:hAnsi="Times New Roman" w:cs="Times New Roman"/>
          <w:sz w:val="24"/>
        </w:rPr>
        <w:t>,</w:t>
      </w:r>
      <w:r w:rsidR="001B2FEB">
        <w:rPr>
          <w:rFonts w:ascii="Times New Roman" w:hAnsi="Times New Roman" w:cs="Times New Roman"/>
          <w:sz w:val="24"/>
        </w:rPr>
        <w:t xml:space="preserve"> Plaintiff’s 2015</w:t>
      </w:r>
      <w:r w:rsidR="00107057">
        <w:rPr>
          <w:rFonts w:ascii="Times New Roman" w:hAnsi="Times New Roman" w:cs="Times New Roman"/>
          <w:sz w:val="24"/>
        </w:rPr>
        <w:t xml:space="preserve"> suit</w:t>
      </w:r>
      <w:r w:rsidR="001B2FEB">
        <w:rPr>
          <w:rFonts w:ascii="Times New Roman" w:hAnsi="Times New Roman" w:cs="Times New Roman"/>
          <w:sz w:val="24"/>
        </w:rPr>
        <w:t xml:space="preserve"> was untimely</w:t>
      </w:r>
      <w:r w:rsidR="00107057">
        <w:rPr>
          <w:rFonts w:ascii="Times New Roman" w:hAnsi="Times New Roman" w:cs="Times New Roman"/>
          <w:sz w:val="24"/>
        </w:rPr>
        <w:t xml:space="preserve"> </w:t>
      </w:r>
      <w:r w:rsidR="006329E5">
        <w:rPr>
          <w:rFonts w:ascii="Times New Roman" w:hAnsi="Times New Roman" w:cs="Times New Roman"/>
          <w:sz w:val="24"/>
        </w:rPr>
        <w:t>since</w:t>
      </w:r>
      <w:r w:rsidR="001B2FEB">
        <w:rPr>
          <w:rFonts w:ascii="Times New Roman" w:hAnsi="Times New Roman" w:cs="Times New Roman"/>
          <w:sz w:val="24"/>
        </w:rPr>
        <w:t xml:space="preserve"> the statute of limitations had already run</w:t>
      </w:r>
      <w:r w:rsidR="00E05886">
        <w:rPr>
          <w:rFonts w:ascii="Times New Roman" w:hAnsi="Times New Roman" w:cs="Times New Roman"/>
          <w:sz w:val="24"/>
        </w:rPr>
        <w:t>.</w:t>
      </w:r>
      <w:r w:rsidR="00E05886">
        <w:rPr>
          <w:rStyle w:val="FootnoteReference"/>
          <w:rFonts w:ascii="Times New Roman" w:hAnsi="Times New Roman" w:cs="Times New Roman"/>
          <w:sz w:val="24"/>
        </w:rPr>
        <w:footnoteReference w:id="26"/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B55BD7" w:rsidRDefault="00B55BD7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57ABB">
        <w:rPr>
          <w:rFonts w:ascii="Times New Roman" w:hAnsi="Times New Roman" w:cs="Times New Roman"/>
          <w:sz w:val="24"/>
        </w:rPr>
        <w:t xml:space="preserve">On June 1, 2018, the New Jersey Supreme Court denied </w:t>
      </w:r>
      <w:r w:rsidR="00DC326B">
        <w:rPr>
          <w:rFonts w:ascii="Times New Roman" w:hAnsi="Times New Roman" w:cs="Times New Roman"/>
          <w:sz w:val="24"/>
        </w:rPr>
        <w:t xml:space="preserve">a </w:t>
      </w:r>
      <w:r w:rsidR="00C57ABB">
        <w:rPr>
          <w:rFonts w:ascii="Times New Roman" w:hAnsi="Times New Roman" w:cs="Times New Roman"/>
          <w:sz w:val="24"/>
        </w:rPr>
        <w:t>petition for certification.</w:t>
      </w:r>
      <w:r w:rsidR="00C57ABB">
        <w:rPr>
          <w:rStyle w:val="FootnoteReference"/>
          <w:rFonts w:ascii="Times New Roman" w:hAnsi="Times New Roman" w:cs="Times New Roman"/>
          <w:sz w:val="24"/>
        </w:rPr>
        <w:footnoteReference w:id="27"/>
      </w:r>
    </w:p>
    <w:p w:rsidR="001B2FEB" w:rsidRDefault="001B2FE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1B2FEB" w:rsidRP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B.</w:t>
      </w:r>
      <w:r>
        <w:rPr>
          <w:rFonts w:ascii="Times New Roman" w:hAnsi="Times New Roman" w:cs="Times New Roman"/>
          <w:b/>
          <w:i/>
          <w:sz w:val="24"/>
        </w:rPr>
        <w:tab/>
      </w:r>
      <w:r w:rsidR="001B2FEB" w:rsidRPr="00DC326B">
        <w:rPr>
          <w:rFonts w:ascii="Times New Roman" w:hAnsi="Times New Roman" w:cs="Times New Roman"/>
          <w:b/>
          <w:i/>
          <w:sz w:val="24"/>
        </w:rPr>
        <w:t>Pfeifer v. McLaughlin</w:t>
      </w:r>
    </w:p>
    <w:p w:rsidR="001B2FEB" w:rsidRDefault="001B2FE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1B2FEB" w:rsidRDefault="00BB1E0A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10CE0">
        <w:rPr>
          <w:rFonts w:ascii="Times New Roman" w:hAnsi="Times New Roman" w:cs="Times New Roman"/>
          <w:sz w:val="24"/>
        </w:rPr>
        <w:t>On July 26,</w:t>
      </w:r>
      <w:r>
        <w:rPr>
          <w:rFonts w:ascii="Times New Roman" w:hAnsi="Times New Roman" w:cs="Times New Roman"/>
          <w:sz w:val="24"/>
        </w:rPr>
        <w:t xml:space="preserve"> 2007, Claude and Joanne Owen</w:t>
      </w:r>
      <w:r w:rsidR="001A7986">
        <w:rPr>
          <w:rFonts w:ascii="Times New Roman" w:hAnsi="Times New Roman" w:cs="Times New Roman"/>
          <w:sz w:val="24"/>
        </w:rPr>
        <w:t xml:space="preserve"> received a $53,000 </w:t>
      </w:r>
      <w:r w:rsidR="00C147B1">
        <w:rPr>
          <w:rFonts w:ascii="Times New Roman" w:hAnsi="Times New Roman" w:cs="Times New Roman"/>
          <w:sz w:val="24"/>
        </w:rPr>
        <w:t xml:space="preserve">loan from the </w:t>
      </w:r>
      <w:proofErr w:type="spellStart"/>
      <w:r w:rsidR="00C147B1">
        <w:rPr>
          <w:rFonts w:ascii="Times New Roman" w:hAnsi="Times New Roman" w:cs="Times New Roman"/>
          <w:sz w:val="24"/>
        </w:rPr>
        <w:t>Pfeifers</w:t>
      </w:r>
      <w:proofErr w:type="spellEnd"/>
      <w:r w:rsidR="00C147B1">
        <w:rPr>
          <w:rFonts w:ascii="Times New Roman" w:hAnsi="Times New Roman" w:cs="Times New Roman"/>
          <w:sz w:val="24"/>
        </w:rPr>
        <w:t xml:space="preserve"> that was set to mature on July 26, 2008.</w:t>
      </w:r>
      <w:r w:rsidR="001A7986">
        <w:rPr>
          <w:rStyle w:val="FootnoteReference"/>
          <w:rFonts w:ascii="Times New Roman" w:hAnsi="Times New Roman" w:cs="Times New Roman"/>
          <w:sz w:val="24"/>
        </w:rPr>
        <w:footnoteReference w:id="28"/>
      </w:r>
      <w:r w:rsidR="00C147B1">
        <w:rPr>
          <w:rFonts w:ascii="Times New Roman" w:hAnsi="Times New Roman" w:cs="Times New Roman"/>
          <w:sz w:val="24"/>
        </w:rPr>
        <w:t xml:space="preserve"> In order to ensure repayment of the loan, the Owens</w:t>
      </w:r>
      <w:r w:rsidR="00F53869">
        <w:rPr>
          <w:rFonts w:ascii="Times New Roman" w:hAnsi="Times New Roman" w:cs="Times New Roman"/>
          <w:sz w:val="24"/>
        </w:rPr>
        <w:t xml:space="preserve"> executed a non-purchase money mortgage on their property which named the P</w:t>
      </w:r>
      <w:r w:rsidR="0003512F">
        <w:rPr>
          <w:rFonts w:ascii="Times New Roman" w:hAnsi="Times New Roman" w:cs="Times New Roman"/>
          <w:sz w:val="24"/>
        </w:rPr>
        <w:t>laintiffs</w:t>
      </w:r>
      <w:r w:rsidR="00F53869">
        <w:rPr>
          <w:rFonts w:ascii="Times New Roman" w:hAnsi="Times New Roman" w:cs="Times New Roman"/>
          <w:sz w:val="24"/>
        </w:rPr>
        <w:t xml:space="preserve"> as mortgagees.</w:t>
      </w:r>
      <w:r w:rsidR="00F53869">
        <w:rPr>
          <w:rStyle w:val="FootnoteReference"/>
          <w:rFonts w:ascii="Times New Roman" w:hAnsi="Times New Roman" w:cs="Times New Roman"/>
          <w:sz w:val="24"/>
        </w:rPr>
        <w:footnoteReference w:id="29"/>
      </w:r>
      <w:r w:rsidR="00910CE0">
        <w:rPr>
          <w:rFonts w:ascii="Times New Roman" w:hAnsi="Times New Roman" w:cs="Times New Roman"/>
          <w:sz w:val="24"/>
        </w:rPr>
        <w:t xml:space="preserve"> This mortgage was recorded with the Monmouth County Clerk’s Office on September 21, 2007.</w:t>
      </w:r>
      <w:r w:rsidR="00910CE0">
        <w:rPr>
          <w:rStyle w:val="FootnoteReference"/>
          <w:rFonts w:ascii="Times New Roman" w:hAnsi="Times New Roman" w:cs="Times New Roman"/>
          <w:sz w:val="24"/>
        </w:rPr>
        <w:footnoteReference w:id="30"/>
      </w:r>
      <w:r w:rsidR="008D225A">
        <w:rPr>
          <w:rFonts w:ascii="Times New Roman" w:hAnsi="Times New Roman" w:cs="Times New Roman"/>
          <w:sz w:val="24"/>
        </w:rPr>
        <w:t xml:space="preserve"> The property was originally conveyed to Joanne </w:t>
      </w:r>
      <w:proofErr w:type="spellStart"/>
      <w:r w:rsidR="008D225A">
        <w:rPr>
          <w:rFonts w:ascii="Times New Roman" w:hAnsi="Times New Roman" w:cs="Times New Roman"/>
          <w:sz w:val="24"/>
        </w:rPr>
        <w:t>Gillikin</w:t>
      </w:r>
      <w:proofErr w:type="spellEnd"/>
      <w:r w:rsidR="008D225A">
        <w:rPr>
          <w:rFonts w:ascii="Times New Roman" w:hAnsi="Times New Roman" w:cs="Times New Roman"/>
          <w:sz w:val="24"/>
        </w:rPr>
        <w:t xml:space="preserve"> by a March 3, 1987 deed.</w:t>
      </w:r>
      <w:r w:rsidR="008D225A">
        <w:rPr>
          <w:rStyle w:val="FootnoteReference"/>
          <w:rFonts w:ascii="Times New Roman" w:hAnsi="Times New Roman" w:cs="Times New Roman"/>
          <w:sz w:val="24"/>
        </w:rPr>
        <w:footnoteReference w:id="31"/>
      </w:r>
      <w:r w:rsidR="009E51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5173">
        <w:rPr>
          <w:rFonts w:ascii="Times New Roman" w:hAnsi="Times New Roman" w:cs="Times New Roman"/>
          <w:sz w:val="24"/>
        </w:rPr>
        <w:t>Gillikin</w:t>
      </w:r>
      <w:proofErr w:type="spellEnd"/>
      <w:r w:rsidR="009E5173">
        <w:rPr>
          <w:rFonts w:ascii="Times New Roman" w:hAnsi="Times New Roman" w:cs="Times New Roman"/>
          <w:sz w:val="24"/>
        </w:rPr>
        <w:t xml:space="preserve"> later changed her name after marrying Claude Owen in 1991.</w:t>
      </w:r>
      <w:r w:rsidR="009E5173">
        <w:rPr>
          <w:rStyle w:val="FootnoteReference"/>
          <w:rFonts w:ascii="Times New Roman" w:hAnsi="Times New Roman" w:cs="Times New Roman"/>
          <w:sz w:val="24"/>
        </w:rPr>
        <w:footnoteReference w:id="32"/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9E5173" w:rsidRDefault="009E5173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mortgage identified the Owens as the debtors and describe</w:t>
      </w:r>
      <w:r w:rsidR="00B519FA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the property as previously given by deed to Joanne </w:t>
      </w:r>
      <w:proofErr w:type="spellStart"/>
      <w:r>
        <w:rPr>
          <w:rFonts w:ascii="Times New Roman" w:hAnsi="Times New Roman" w:cs="Times New Roman"/>
          <w:sz w:val="24"/>
        </w:rPr>
        <w:t>Gillikin</w:t>
      </w:r>
      <w:proofErr w:type="spellEnd"/>
      <w:r>
        <w:rPr>
          <w:rFonts w:ascii="Times New Roman" w:hAnsi="Times New Roman" w:cs="Times New Roman"/>
          <w:sz w:val="24"/>
        </w:rPr>
        <w:t xml:space="preserve"> in 1987.</w:t>
      </w:r>
      <w:r>
        <w:rPr>
          <w:rStyle w:val="FootnoteReference"/>
          <w:rFonts w:ascii="Times New Roman" w:hAnsi="Times New Roman" w:cs="Times New Roman"/>
          <w:sz w:val="24"/>
        </w:rPr>
        <w:footnoteReference w:id="33"/>
      </w:r>
      <w:r w:rsidR="00350D88">
        <w:rPr>
          <w:rFonts w:ascii="Times New Roman" w:hAnsi="Times New Roman" w:cs="Times New Roman"/>
          <w:sz w:val="24"/>
        </w:rPr>
        <w:t xml:space="preserve">  It contained a </w:t>
      </w:r>
      <w:r w:rsidR="00882951">
        <w:rPr>
          <w:rFonts w:ascii="Times New Roman" w:hAnsi="Times New Roman" w:cs="Times New Roman"/>
          <w:sz w:val="24"/>
        </w:rPr>
        <w:t xml:space="preserve">default clause allowing the </w:t>
      </w:r>
      <w:r w:rsidR="00DE63AE">
        <w:rPr>
          <w:rFonts w:ascii="Times New Roman" w:hAnsi="Times New Roman" w:cs="Times New Roman"/>
          <w:sz w:val="24"/>
        </w:rPr>
        <w:t>Plaintiffs</w:t>
      </w:r>
      <w:r w:rsidR="00882951">
        <w:rPr>
          <w:rFonts w:ascii="Times New Roman" w:hAnsi="Times New Roman" w:cs="Times New Roman"/>
          <w:sz w:val="24"/>
        </w:rPr>
        <w:t xml:space="preserve"> to declare a default</w:t>
      </w:r>
      <w:r w:rsidR="00DF0033">
        <w:rPr>
          <w:rFonts w:ascii="Times New Roman" w:hAnsi="Times New Roman" w:cs="Times New Roman"/>
          <w:sz w:val="24"/>
        </w:rPr>
        <w:t xml:space="preserve"> and subsequently foreclose</w:t>
      </w:r>
      <w:r w:rsidR="00882951">
        <w:rPr>
          <w:rFonts w:ascii="Times New Roman" w:hAnsi="Times New Roman" w:cs="Times New Roman"/>
          <w:sz w:val="24"/>
        </w:rPr>
        <w:t xml:space="preserve"> if the Owens either “(1) failed to make any payments by the due dates; (2) failed to keep any other promises in the mortgage; or (3) ‘ownership of the property changed for any reason.”</w:t>
      </w:r>
      <w:r w:rsidR="00882951">
        <w:rPr>
          <w:rStyle w:val="FootnoteReference"/>
          <w:rFonts w:ascii="Times New Roman" w:hAnsi="Times New Roman" w:cs="Times New Roman"/>
          <w:sz w:val="24"/>
        </w:rPr>
        <w:footnoteReference w:id="34"/>
      </w:r>
      <w:r w:rsidR="00882951">
        <w:rPr>
          <w:rFonts w:ascii="Times New Roman" w:hAnsi="Times New Roman" w:cs="Times New Roman"/>
          <w:sz w:val="24"/>
        </w:rPr>
        <w:t xml:space="preserve"> There also was a “balloon payment” </w:t>
      </w:r>
      <w:r w:rsidR="00882951">
        <w:rPr>
          <w:rFonts w:ascii="Times New Roman" w:hAnsi="Times New Roman" w:cs="Times New Roman"/>
          <w:sz w:val="24"/>
        </w:rPr>
        <w:lastRenderedPageBreak/>
        <w:t>clause which required monthly payments until July 26, 2008</w:t>
      </w:r>
      <w:r w:rsidR="00C02FCC">
        <w:rPr>
          <w:rFonts w:ascii="Times New Roman" w:hAnsi="Times New Roman" w:cs="Times New Roman"/>
          <w:sz w:val="24"/>
        </w:rPr>
        <w:t>,</w:t>
      </w:r>
      <w:r w:rsidR="00882951">
        <w:rPr>
          <w:rFonts w:ascii="Times New Roman" w:hAnsi="Times New Roman" w:cs="Times New Roman"/>
          <w:sz w:val="24"/>
        </w:rPr>
        <w:t xml:space="preserve"> when </w:t>
      </w:r>
      <w:r w:rsidR="00DF0033">
        <w:rPr>
          <w:rFonts w:ascii="Times New Roman" w:hAnsi="Times New Roman" w:cs="Times New Roman"/>
          <w:sz w:val="24"/>
        </w:rPr>
        <w:t>the remaining balance would be due in full.</w:t>
      </w:r>
      <w:r w:rsidR="00DF0033">
        <w:rPr>
          <w:rStyle w:val="FootnoteReference"/>
          <w:rFonts w:ascii="Times New Roman" w:hAnsi="Times New Roman" w:cs="Times New Roman"/>
          <w:sz w:val="24"/>
        </w:rPr>
        <w:footnoteReference w:id="35"/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DF0033" w:rsidRDefault="00DF0033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Owens defaulted after failing to make a monthly payment and </w:t>
      </w:r>
      <w:r w:rsidR="001312AE">
        <w:rPr>
          <w:rFonts w:ascii="Times New Roman" w:hAnsi="Times New Roman" w:cs="Times New Roman"/>
          <w:sz w:val="24"/>
        </w:rPr>
        <w:t>providing</w:t>
      </w:r>
      <w:r>
        <w:rPr>
          <w:rFonts w:ascii="Times New Roman" w:hAnsi="Times New Roman" w:cs="Times New Roman"/>
          <w:sz w:val="24"/>
        </w:rPr>
        <w:t xml:space="preserve"> the remaining balance when the </w:t>
      </w:r>
      <w:r w:rsidR="001312AE">
        <w:rPr>
          <w:rFonts w:ascii="Times New Roman" w:hAnsi="Times New Roman" w:cs="Times New Roman"/>
          <w:sz w:val="24"/>
        </w:rPr>
        <w:t>loan was set to mature.</w:t>
      </w:r>
      <w:r w:rsidR="001312AE">
        <w:rPr>
          <w:rStyle w:val="FootnoteReference"/>
          <w:rFonts w:ascii="Times New Roman" w:hAnsi="Times New Roman" w:cs="Times New Roman"/>
          <w:sz w:val="24"/>
        </w:rPr>
        <w:footnoteReference w:id="36"/>
      </w:r>
      <w:r w:rsidR="00273B1C">
        <w:rPr>
          <w:rFonts w:ascii="Times New Roman" w:hAnsi="Times New Roman" w:cs="Times New Roman"/>
          <w:sz w:val="24"/>
        </w:rPr>
        <w:t xml:space="preserve"> This led to the P</w:t>
      </w:r>
      <w:r w:rsidR="00DE63AE">
        <w:rPr>
          <w:rFonts w:ascii="Times New Roman" w:hAnsi="Times New Roman" w:cs="Times New Roman"/>
          <w:sz w:val="24"/>
        </w:rPr>
        <w:t>laintiffs</w:t>
      </w:r>
      <w:r w:rsidR="00273B1C">
        <w:rPr>
          <w:rFonts w:ascii="Times New Roman" w:hAnsi="Times New Roman" w:cs="Times New Roman"/>
          <w:sz w:val="24"/>
        </w:rPr>
        <w:t xml:space="preserve"> filing a forec</w:t>
      </w:r>
      <w:r w:rsidR="007B6189">
        <w:rPr>
          <w:rFonts w:ascii="Times New Roman" w:hAnsi="Times New Roman" w:cs="Times New Roman"/>
          <w:sz w:val="24"/>
        </w:rPr>
        <w:t>losure action on January 7, 2009</w:t>
      </w:r>
      <w:r w:rsidR="00892F6B">
        <w:rPr>
          <w:rFonts w:ascii="Times New Roman" w:hAnsi="Times New Roman" w:cs="Times New Roman"/>
          <w:sz w:val="24"/>
        </w:rPr>
        <w:t>,</w:t>
      </w:r>
      <w:r w:rsidR="007B6189">
        <w:rPr>
          <w:rFonts w:ascii="Times New Roman" w:hAnsi="Times New Roman" w:cs="Times New Roman"/>
          <w:sz w:val="24"/>
        </w:rPr>
        <w:t xml:space="preserve"> </w:t>
      </w:r>
      <w:r w:rsidR="00892F6B">
        <w:rPr>
          <w:rFonts w:ascii="Times New Roman" w:hAnsi="Times New Roman" w:cs="Times New Roman"/>
          <w:sz w:val="24"/>
        </w:rPr>
        <w:t xml:space="preserve">that </w:t>
      </w:r>
      <w:r w:rsidR="007B6189">
        <w:rPr>
          <w:rFonts w:ascii="Times New Roman" w:hAnsi="Times New Roman" w:cs="Times New Roman"/>
          <w:sz w:val="24"/>
        </w:rPr>
        <w:t>was ultimately dismissed without prejudice for lack of prosecution</w:t>
      </w:r>
      <w:r w:rsidR="00273B1C">
        <w:rPr>
          <w:rStyle w:val="FootnoteReference"/>
          <w:rFonts w:ascii="Times New Roman" w:hAnsi="Times New Roman" w:cs="Times New Roman"/>
          <w:sz w:val="24"/>
        </w:rPr>
        <w:footnoteReference w:id="37"/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7B6189" w:rsidRDefault="007B6189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0FF5">
        <w:rPr>
          <w:rFonts w:ascii="Times New Roman" w:hAnsi="Times New Roman" w:cs="Times New Roman"/>
          <w:sz w:val="24"/>
        </w:rPr>
        <w:t xml:space="preserve">On November 17, 2010, the </w:t>
      </w:r>
      <w:proofErr w:type="spellStart"/>
      <w:r w:rsidR="00870FF5">
        <w:rPr>
          <w:rFonts w:ascii="Times New Roman" w:hAnsi="Times New Roman" w:cs="Times New Roman"/>
          <w:sz w:val="24"/>
        </w:rPr>
        <w:t>McLaughlins</w:t>
      </w:r>
      <w:proofErr w:type="spellEnd"/>
      <w:r w:rsidR="00F97BF9">
        <w:rPr>
          <w:rFonts w:ascii="Times New Roman" w:hAnsi="Times New Roman" w:cs="Times New Roman"/>
          <w:sz w:val="24"/>
        </w:rPr>
        <w:t xml:space="preserve"> </w:t>
      </w:r>
      <w:r w:rsidR="00870FF5">
        <w:rPr>
          <w:rFonts w:ascii="Times New Roman" w:hAnsi="Times New Roman" w:cs="Times New Roman"/>
          <w:sz w:val="24"/>
        </w:rPr>
        <w:t xml:space="preserve">received </w:t>
      </w:r>
      <w:r w:rsidR="00FA51D9">
        <w:rPr>
          <w:rFonts w:ascii="Times New Roman" w:hAnsi="Times New Roman" w:cs="Times New Roman"/>
          <w:sz w:val="24"/>
        </w:rPr>
        <w:t>a deed to the property in question</w:t>
      </w:r>
      <w:r w:rsidR="00870FF5">
        <w:rPr>
          <w:rFonts w:ascii="Times New Roman" w:hAnsi="Times New Roman" w:cs="Times New Roman"/>
          <w:sz w:val="24"/>
        </w:rPr>
        <w:t xml:space="preserve"> from the Owens</w:t>
      </w:r>
      <w:r w:rsidR="00A313D0">
        <w:rPr>
          <w:rFonts w:ascii="Times New Roman" w:hAnsi="Times New Roman" w:cs="Times New Roman"/>
          <w:sz w:val="24"/>
        </w:rPr>
        <w:t xml:space="preserve"> </w:t>
      </w:r>
      <w:r w:rsidR="00FA51D9">
        <w:rPr>
          <w:rFonts w:ascii="Times New Roman" w:hAnsi="Times New Roman" w:cs="Times New Roman"/>
          <w:sz w:val="24"/>
        </w:rPr>
        <w:t>which listed</w:t>
      </w:r>
      <w:r w:rsidR="00A313D0">
        <w:rPr>
          <w:rFonts w:ascii="Times New Roman" w:hAnsi="Times New Roman" w:cs="Times New Roman"/>
          <w:sz w:val="24"/>
        </w:rPr>
        <w:t xml:space="preserve"> the grantors as “Joanne </w:t>
      </w:r>
      <w:proofErr w:type="spellStart"/>
      <w:r w:rsidR="00A313D0">
        <w:rPr>
          <w:rFonts w:ascii="Times New Roman" w:hAnsi="Times New Roman" w:cs="Times New Roman"/>
          <w:sz w:val="24"/>
        </w:rPr>
        <w:t>Gillikin</w:t>
      </w:r>
      <w:proofErr w:type="spellEnd"/>
      <w:r w:rsidR="00A313D0">
        <w:rPr>
          <w:rFonts w:ascii="Times New Roman" w:hAnsi="Times New Roman" w:cs="Times New Roman"/>
          <w:sz w:val="24"/>
        </w:rPr>
        <w:t xml:space="preserve"> Owen and Claude Owen”</w:t>
      </w:r>
      <w:r w:rsidR="006F41B0">
        <w:rPr>
          <w:rFonts w:ascii="Times New Roman" w:hAnsi="Times New Roman" w:cs="Times New Roman"/>
          <w:sz w:val="24"/>
        </w:rPr>
        <w:t>; this mortgage was later recorded on May 23, 2011</w:t>
      </w:r>
      <w:r w:rsidR="00892F6B">
        <w:rPr>
          <w:rFonts w:ascii="Times New Roman" w:hAnsi="Times New Roman" w:cs="Times New Roman"/>
          <w:sz w:val="24"/>
        </w:rPr>
        <w:t>,</w:t>
      </w:r>
      <w:r w:rsidR="006F41B0">
        <w:rPr>
          <w:rFonts w:ascii="Times New Roman" w:hAnsi="Times New Roman" w:cs="Times New Roman"/>
          <w:sz w:val="24"/>
        </w:rPr>
        <w:t xml:space="preserve"> and re-recorded June 3, 2011</w:t>
      </w:r>
      <w:r w:rsidR="00892F6B">
        <w:rPr>
          <w:rFonts w:ascii="Times New Roman" w:hAnsi="Times New Roman" w:cs="Times New Roman"/>
          <w:sz w:val="24"/>
        </w:rPr>
        <w:t>,</w:t>
      </w:r>
      <w:r w:rsidR="006F41B0">
        <w:rPr>
          <w:rFonts w:ascii="Times New Roman" w:hAnsi="Times New Roman" w:cs="Times New Roman"/>
          <w:sz w:val="24"/>
        </w:rPr>
        <w:t xml:space="preserve"> at the Monmouth County Clerk’s Office.</w:t>
      </w:r>
      <w:r w:rsidR="00A313D0">
        <w:rPr>
          <w:rStyle w:val="FootnoteReference"/>
          <w:rFonts w:ascii="Times New Roman" w:hAnsi="Times New Roman" w:cs="Times New Roman"/>
          <w:sz w:val="24"/>
        </w:rPr>
        <w:footnoteReference w:id="38"/>
      </w:r>
      <w:r w:rsidR="00F97BF9">
        <w:rPr>
          <w:rFonts w:ascii="Times New Roman" w:hAnsi="Times New Roman" w:cs="Times New Roman"/>
          <w:sz w:val="24"/>
        </w:rPr>
        <w:t xml:space="preserve"> Defendants then conducted a title search within the county </w:t>
      </w:r>
      <w:r w:rsidR="00F10204">
        <w:rPr>
          <w:rFonts w:ascii="Times New Roman" w:hAnsi="Times New Roman" w:cs="Times New Roman"/>
          <w:sz w:val="24"/>
        </w:rPr>
        <w:t xml:space="preserve">using Joanne </w:t>
      </w:r>
      <w:proofErr w:type="spellStart"/>
      <w:r w:rsidR="00F10204">
        <w:rPr>
          <w:rFonts w:ascii="Times New Roman" w:hAnsi="Times New Roman" w:cs="Times New Roman"/>
          <w:sz w:val="24"/>
        </w:rPr>
        <w:t>Gillikin</w:t>
      </w:r>
      <w:proofErr w:type="spellEnd"/>
      <w:r w:rsidR="00F10204">
        <w:rPr>
          <w:rFonts w:ascii="Times New Roman" w:hAnsi="Times New Roman" w:cs="Times New Roman"/>
          <w:sz w:val="24"/>
        </w:rPr>
        <w:t xml:space="preserve"> as the grantee.</w:t>
      </w:r>
      <w:r w:rsidR="00F10204">
        <w:rPr>
          <w:rStyle w:val="FootnoteReference"/>
          <w:rFonts w:ascii="Times New Roman" w:hAnsi="Times New Roman" w:cs="Times New Roman"/>
          <w:sz w:val="24"/>
        </w:rPr>
        <w:footnoteReference w:id="39"/>
      </w:r>
      <w:r w:rsidR="005D7940">
        <w:rPr>
          <w:rFonts w:ascii="Times New Roman" w:hAnsi="Times New Roman" w:cs="Times New Roman"/>
          <w:sz w:val="24"/>
        </w:rPr>
        <w:t xml:space="preserve"> This search revealed only the 1987 mortgage</w:t>
      </w:r>
      <w:r w:rsidR="00892F6B">
        <w:rPr>
          <w:rFonts w:ascii="Times New Roman" w:hAnsi="Times New Roman" w:cs="Times New Roman"/>
          <w:sz w:val="24"/>
        </w:rPr>
        <w:t>,</w:t>
      </w:r>
      <w:r w:rsidR="005D7940">
        <w:rPr>
          <w:rFonts w:ascii="Times New Roman" w:hAnsi="Times New Roman" w:cs="Times New Roman"/>
          <w:sz w:val="24"/>
        </w:rPr>
        <w:t xml:space="preserve"> but St</w:t>
      </w:r>
      <w:r w:rsidR="00D10299">
        <w:rPr>
          <w:rFonts w:ascii="Times New Roman" w:hAnsi="Times New Roman" w:cs="Times New Roman"/>
          <w:sz w:val="24"/>
        </w:rPr>
        <w:t xml:space="preserve">ewart Title Company, the title agency used by Defendants, </w:t>
      </w:r>
      <w:r w:rsidR="00892F6B">
        <w:rPr>
          <w:rFonts w:ascii="Times New Roman" w:hAnsi="Times New Roman" w:cs="Times New Roman"/>
          <w:sz w:val="24"/>
        </w:rPr>
        <w:t>was aware that</w:t>
      </w:r>
      <w:r w:rsidR="00D10299">
        <w:rPr>
          <w:rFonts w:ascii="Times New Roman" w:hAnsi="Times New Roman" w:cs="Times New Roman"/>
          <w:sz w:val="24"/>
        </w:rPr>
        <w:t xml:space="preserve"> Joanne </w:t>
      </w:r>
      <w:proofErr w:type="spellStart"/>
      <w:r w:rsidR="00D10299">
        <w:rPr>
          <w:rFonts w:ascii="Times New Roman" w:hAnsi="Times New Roman" w:cs="Times New Roman"/>
          <w:sz w:val="24"/>
        </w:rPr>
        <w:t>Gillikin</w:t>
      </w:r>
      <w:proofErr w:type="spellEnd"/>
      <w:r w:rsidR="00EA7CD7">
        <w:rPr>
          <w:rFonts w:ascii="Times New Roman" w:hAnsi="Times New Roman" w:cs="Times New Roman"/>
          <w:sz w:val="24"/>
        </w:rPr>
        <w:t xml:space="preserve"> was going by a different name since marrying</w:t>
      </w:r>
      <w:r w:rsidR="00D10299">
        <w:rPr>
          <w:rFonts w:ascii="Times New Roman" w:hAnsi="Times New Roman" w:cs="Times New Roman"/>
          <w:sz w:val="24"/>
        </w:rPr>
        <w:t>.</w:t>
      </w:r>
      <w:r w:rsidR="00D10299">
        <w:rPr>
          <w:rStyle w:val="FootnoteReference"/>
          <w:rFonts w:ascii="Times New Roman" w:hAnsi="Times New Roman" w:cs="Times New Roman"/>
          <w:sz w:val="24"/>
        </w:rPr>
        <w:footnoteReference w:id="40"/>
      </w:r>
      <w:r w:rsidR="00EA7CD7">
        <w:rPr>
          <w:rFonts w:ascii="Times New Roman" w:hAnsi="Times New Roman" w:cs="Times New Roman"/>
          <w:sz w:val="24"/>
        </w:rPr>
        <w:t xml:space="preserve"> </w:t>
      </w:r>
      <w:r w:rsidR="00C45817">
        <w:rPr>
          <w:rFonts w:ascii="Times New Roman" w:hAnsi="Times New Roman" w:cs="Times New Roman"/>
          <w:sz w:val="24"/>
        </w:rPr>
        <w:t>Stewart Title also ran a civil judgment search only using the last name “Owen</w:t>
      </w:r>
      <w:r w:rsidR="0023074F">
        <w:rPr>
          <w:rFonts w:ascii="Times New Roman" w:hAnsi="Times New Roman" w:cs="Times New Roman"/>
          <w:sz w:val="24"/>
        </w:rPr>
        <w:t>.”</w:t>
      </w:r>
      <w:r w:rsidR="0023074F">
        <w:rPr>
          <w:rStyle w:val="FootnoteReference"/>
          <w:rFonts w:ascii="Times New Roman" w:hAnsi="Times New Roman" w:cs="Times New Roman"/>
          <w:sz w:val="24"/>
        </w:rPr>
        <w:footnoteReference w:id="41"/>
      </w:r>
      <w:r w:rsidR="00F139B7">
        <w:rPr>
          <w:rFonts w:ascii="Times New Roman" w:hAnsi="Times New Roman" w:cs="Times New Roman"/>
          <w:sz w:val="24"/>
        </w:rPr>
        <w:t xml:space="preserve"> </w:t>
      </w:r>
      <w:r w:rsidR="00D7599B">
        <w:rPr>
          <w:rFonts w:ascii="Times New Roman" w:hAnsi="Times New Roman" w:cs="Times New Roman"/>
          <w:sz w:val="24"/>
        </w:rPr>
        <w:t xml:space="preserve">These searches failed to reveal the </w:t>
      </w:r>
      <w:r w:rsidR="00D7599B" w:rsidRPr="00D7599B">
        <w:rPr>
          <w:rFonts w:ascii="Times New Roman" w:hAnsi="Times New Roman" w:cs="Times New Roman"/>
          <w:sz w:val="24"/>
        </w:rPr>
        <w:t>July 26, 2007</w:t>
      </w:r>
      <w:r w:rsidR="00892F6B">
        <w:rPr>
          <w:rFonts w:ascii="Times New Roman" w:hAnsi="Times New Roman" w:cs="Times New Roman"/>
          <w:sz w:val="24"/>
        </w:rPr>
        <w:t>,</w:t>
      </w:r>
      <w:r w:rsidR="00D7599B">
        <w:rPr>
          <w:rFonts w:ascii="Times New Roman" w:hAnsi="Times New Roman" w:cs="Times New Roman"/>
          <w:sz w:val="24"/>
        </w:rPr>
        <w:t xml:space="preserve"> mortgage held by the </w:t>
      </w:r>
      <w:r w:rsidR="00DE63AE">
        <w:rPr>
          <w:rFonts w:ascii="Times New Roman" w:hAnsi="Times New Roman" w:cs="Times New Roman"/>
          <w:sz w:val="24"/>
        </w:rPr>
        <w:t>Plaintiffs</w:t>
      </w:r>
      <w:r w:rsidR="00143F71">
        <w:rPr>
          <w:rFonts w:ascii="Times New Roman" w:hAnsi="Times New Roman" w:cs="Times New Roman"/>
          <w:sz w:val="24"/>
        </w:rPr>
        <w:t>.</w:t>
      </w:r>
      <w:r w:rsidR="00143F71">
        <w:rPr>
          <w:rStyle w:val="FootnoteReference"/>
          <w:rFonts w:ascii="Times New Roman" w:hAnsi="Times New Roman" w:cs="Times New Roman"/>
          <w:sz w:val="24"/>
        </w:rPr>
        <w:footnoteReference w:id="42"/>
      </w:r>
      <w:r w:rsidR="00C078BB">
        <w:rPr>
          <w:rFonts w:ascii="Times New Roman" w:hAnsi="Times New Roman" w:cs="Times New Roman"/>
          <w:sz w:val="24"/>
        </w:rPr>
        <w:t xml:space="preserve"> </w:t>
      </w:r>
      <w:r w:rsidR="00DC1287">
        <w:rPr>
          <w:rFonts w:ascii="Times New Roman" w:hAnsi="Times New Roman" w:cs="Times New Roman"/>
          <w:sz w:val="24"/>
        </w:rPr>
        <w:t xml:space="preserve">The </w:t>
      </w:r>
      <w:r w:rsidR="002A728D">
        <w:rPr>
          <w:rFonts w:ascii="Times New Roman" w:hAnsi="Times New Roman" w:cs="Times New Roman"/>
          <w:sz w:val="24"/>
        </w:rPr>
        <w:t>Owen</w:t>
      </w:r>
      <w:r w:rsidR="00DC1287">
        <w:rPr>
          <w:rFonts w:ascii="Times New Roman" w:hAnsi="Times New Roman" w:cs="Times New Roman"/>
          <w:sz w:val="24"/>
        </w:rPr>
        <w:t>s</w:t>
      </w:r>
      <w:r w:rsidR="001148F0">
        <w:rPr>
          <w:rFonts w:ascii="Times New Roman" w:hAnsi="Times New Roman" w:cs="Times New Roman"/>
          <w:sz w:val="24"/>
        </w:rPr>
        <w:t xml:space="preserve"> did not disclose the mortgage in an affidavit of title submitted </w:t>
      </w:r>
      <w:r w:rsidR="001873E7">
        <w:rPr>
          <w:rFonts w:ascii="Times New Roman" w:hAnsi="Times New Roman" w:cs="Times New Roman"/>
          <w:sz w:val="24"/>
        </w:rPr>
        <w:t>during the trans</w:t>
      </w:r>
      <w:r w:rsidR="002B0752">
        <w:rPr>
          <w:rFonts w:ascii="Times New Roman" w:hAnsi="Times New Roman" w:cs="Times New Roman"/>
          <w:sz w:val="24"/>
        </w:rPr>
        <w:t>fer of title or</w:t>
      </w:r>
      <w:r w:rsidR="001873E7">
        <w:rPr>
          <w:rFonts w:ascii="Times New Roman" w:hAnsi="Times New Roman" w:cs="Times New Roman"/>
          <w:sz w:val="24"/>
        </w:rPr>
        <w:t xml:space="preserve"> in a certification submitted to the Chancery Division.</w:t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C078BB" w:rsidRDefault="00C078B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When the Defendants closed on the property, the proceeds of the sale were not applie</w:t>
      </w:r>
      <w:r w:rsidR="001873E7">
        <w:rPr>
          <w:rFonts w:ascii="Times New Roman" w:hAnsi="Times New Roman" w:cs="Times New Roman"/>
          <w:sz w:val="24"/>
        </w:rPr>
        <w:t>d to the outstanding mortgage and on September 8, 2015</w:t>
      </w:r>
      <w:r w:rsidR="00F139B7">
        <w:rPr>
          <w:rFonts w:ascii="Times New Roman" w:hAnsi="Times New Roman" w:cs="Times New Roman"/>
          <w:sz w:val="24"/>
        </w:rPr>
        <w:t>, Plaintiff</w:t>
      </w:r>
      <w:r w:rsidR="00892F6B">
        <w:rPr>
          <w:rFonts w:ascii="Times New Roman" w:hAnsi="Times New Roman" w:cs="Times New Roman"/>
          <w:sz w:val="24"/>
        </w:rPr>
        <w:t>s</w:t>
      </w:r>
      <w:r w:rsidR="00F139B7">
        <w:rPr>
          <w:rFonts w:ascii="Times New Roman" w:hAnsi="Times New Roman" w:cs="Times New Roman"/>
          <w:sz w:val="24"/>
        </w:rPr>
        <w:t xml:space="preserve"> filed </w:t>
      </w:r>
      <w:r w:rsidR="00DC1287">
        <w:rPr>
          <w:rFonts w:ascii="Times New Roman" w:hAnsi="Times New Roman" w:cs="Times New Roman"/>
          <w:sz w:val="24"/>
        </w:rPr>
        <w:t>a foreclosure action.</w:t>
      </w:r>
      <w:r>
        <w:rPr>
          <w:rStyle w:val="FootnoteReference"/>
          <w:rFonts w:ascii="Times New Roman" w:hAnsi="Times New Roman" w:cs="Times New Roman"/>
          <w:sz w:val="24"/>
        </w:rPr>
        <w:footnoteReference w:id="43"/>
      </w:r>
      <w:r w:rsidR="00263C4C">
        <w:rPr>
          <w:rFonts w:ascii="Times New Roman" w:hAnsi="Times New Roman" w:cs="Times New Roman"/>
          <w:sz w:val="24"/>
        </w:rPr>
        <w:t xml:space="preserve"> In response, Defendant</w:t>
      </w:r>
      <w:r w:rsidR="00892F6B">
        <w:rPr>
          <w:rFonts w:ascii="Times New Roman" w:hAnsi="Times New Roman" w:cs="Times New Roman"/>
          <w:sz w:val="24"/>
        </w:rPr>
        <w:t>s</w:t>
      </w:r>
      <w:r w:rsidR="00263C4C">
        <w:rPr>
          <w:rFonts w:ascii="Times New Roman" w:hAnsi="Times New Roman" w:cs="Times New Roman"/>
          <w:sz w:val="24"/>
        </w:rPr>
        <w:t xml:space="preserve"> asserted the property had been acquired without knowledge of the mortgage and </w:t>
      </w:r>
      <w:r w:rsidR="00FB5688">
        <w:rPr>
          <w:rFonts w:ascii="Times New Roman" w:hAnsi="Times New Roman" w:cs="Times New Roman"/>
          <w:sz w:val="24"/>
        </w:rPr>
        <w:t>denied they were legally responsible for the debt.</w:t>
      </w:r>
      <w:r w:rsidR="00FB5688">
        <w:rPr>
          <w:rStyle w:val="FootnoteReference"/>
          <w:rFonts w:ascii="Times New Roman" w:hAnsi="Times New Roman" w:cs="Times New Roman"/>
          <w:sz w:val="24"/>
        </w:rPr>
        <w:footnoteReference w:id="44"/>
      </w:r>
      <w:r w:rsidR="003C26CD">
        <w:rPr>
          <w:rFonts w:ascii="Times New Roman" w:hAnsi="Times New Roman" w:cs="Times New Roman"/>
          <w:sz w:val="24"/>
        </w:rPr>
        <w:t xml:space="preserve"> The </w:t>
      </w:r>
      <w:r w:rsidR="00892F6B">
        <w:rPr>
          <w:rFonts w:ascii="Times New Roman" w:hAnsi="Times New Roman" w:cs="Times New Roman"/>
          <w:sz w:val="24"/>
        </w:rPr>
        <w:t>Court</w:t>
      </w:r>
      <w:r w:rsidR="003C26CD">
        <w:rPr>
          <w:rFonts w:ascii="Times New Roman" w:hAnsi="Times New Roman" w:cs="Times New Roman"/>
          <w:sz w:val="24"/>
        </w:rPr>
        <w:t xml:space="preserve"> granted the Defendants’ motion for summary judgment after finding Plaintiff’s foreclosure action time-barred under</w:t>
      </w:r>
      <w:r w:rsidR="00990431">
        <w:rPr>
          <w:rFonts w:ascii="Times New Roman" w:hAnsi="Times New Roman" w:cs="Times New Roman"/>
          <w:sz w:val="24"/>
        </w:rPr>
        <w:t xml:space="preserve"> 6 year</w:t>
      </w:r>
      <w:r w:rsidR="003C26CD">
        <w:rPr>
          <w:rFonts w:ascii="Times New Roman" w:hAnsi="Times New Roman" w:cs="Times New Roman"/>
          <w:sz w:val="24"/>
        </w:rPr>
        <w:t xml:space="preserve"> the statute of limitations in N.J.S. 2A:50-56.1</w:t>
      </w:r>
      <w:r w:rsidR="00990431">
        <w:rPr>
          <w:rFonts w:ascii="Times New Roman" w:hAnsi="Times New Roman" w:cs="Times New Roman"/>
          <w:sz w:val="24"/>
        </w:rPr>
        <w:t>(a).</w:t>
      </w:r>
      <w:r w:rsidR="00990431">
        <w:rPr>
          <w:rStyle w:val="FootnoteReference"/>
          <w:rFonts w:ascii="Times New Roman" w:hAnsi="Times New Roman" w:cs="Times New Roman"/>
          <w:sz w:val="24"/>
        </w:rPr>
        <w:footnoteReference w:id="45"/>
      </w:r>
      <w:r w:rsidR="001F2584">
        <w:rPr>
          <w:rFonts w:ascii="Times New Roman" w:hAnsi="Times New Roman" w:cs="Times New Roman"/>
          <w:sz w:val="24"/>
        </w:rPr>
        <w:t xml:space="preserve"> Since the mortgage matured on July 26, 2008</w:t>
      </w:r>
      <w:r w:rsidR="00DF33AA">
        <w:rPr>
          <w:rFonts w:ascii="Times New Roman" w:hAnsi="Times New Roman" w:cs="Times New Roman"/>
          <w:sz w:val="24"/>
        </w:rPr>
        <w:t>, the latest a foreclosure suit could have been filed was July 26, 2014.</w:t>
      </w:r>
      <w:r w:rsidR="00DF33AA">
        <w:rPr>
          <w:rStyle w:val="FootnoteReference"/>
          <w:rFonts w:ascii="Times New Roman" w:hAnsi="Times New Roman" w:cs="Times New Roman"/>
          <w:sz w:val="24"/>
        </w:rPr>
        <w:footnoteReference w:id="46"/>
      </w:r>
      <w:r w:rsidR="00D44667">
        <w:rPr>
          <w:rFonts w:ascii="Times New Roman" w:hAnsi="Times New Roman" w:cs="Times New Roman"/>
          <w:sz w:val="24"/>
        </w:rPr>
        <w:t xml:space="preserve">  The foreclosure suit </w:t>
      </w:r>
      <w:r w:rsidR="00086973">
        <w:rPr>
          <w:rFonts w:ascii="Times New Roman" w:hAnsi="Times New Roman" w:cs="Times New Roman"/>
          <w:sz w:val="24"/>
        </w:rPr>
        <w:t>was</w:t>
      </w:r>
      <w:r w:rsidR="003205BB">
        <w:rPr>
          <w:rFonts w:ascii="Times New Roman" w:hAnsi="Times New Roman" w:cs="Times New Roman"/>
          <w:sz w:val="24"/>
        </w:rPr>
        <w:t xml:space="preserve"> not </w:t>
      </w:r>
      <w:r w:rsidR="00D44667">
        <w:rPr>
          <w:rFonts w:ascii="Times New Roman" w:hAnsi="Times New Roman" w:cs="Times New Roman"/>
          <w:sz w:val="24"/>
        </w:rPr>
        <w:t>filed until September 8, 2015</w:t>
      </w:r>
      <w:r w:rsidR="003205BB">
        <w:rPr>
          <w:rFonts w:ascii="Times New Roman" w:hAnsi="Times New Roman" w:cs="Times New Roman"/>
          <w:sz w:val="24"/>
        </w:rPr>
        <w:t>.</w:t>
      </w:r>
      <w:r w:rsidR="003205BB">
        <w:rPr>
          <w:rStyle w:val="FootnoteReference"/>
          <w:rFonts w:ascii="Times New Roman" w:hAnsi="Times New Roman" w:cs="Times New Roman"/>
          <w:sz w:val="24"/>
        </w:rPr>
        <w:footnoteReference w:id="47"/>
      </w:r>
    </w:p>
    <w:p w:rsidR="003644E6" w:rsidRDefault="003644E6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E575EB" w:rsidRDefault="003644E6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E6562">
        <w:rPr>
          <w:rFonts w:ascii="Times New Roman" w:hAnsi="Times New Roman" w:cs="Times New Roman"/>
          <w:sz w:val="24"/>
        </w:rPr>
        <w:t>On appeal, Plaintiff argued a 20 year statute of limitations applied to the suit</w:t>
      </w:r>
      <w:r w:rsidR="00086973">
        <w:rPr>
          <w:rFonts w:ascii="Times New Roman" w:hAnsi="Times New Roman" w:cs="Times New Roman"/>
          <w:sz w:val="24"/>
        </w:rPr>
        <w:t>,</w:t>
      </w:r>
      <w:r w:rsidR="003E6562">
        <w:rPr>
          <w:rFonts w:ascii="Times New Roman" w:hAnsi="Times New Roman" w:cs="Times New Roman"/>
          <w:sz w:val="24"/>
        </w:rPr>
        <w:t xml:space="preserve"> citing the sponsor</w:t>
      </w:r>
      <w:r w:rsidR="00086973">
        <w:rPr>
          <w:rFonts w:ascii="Times New Roman" w:hAnsi="Times New Roman" w:cs="Times New Roman"/>
          <w:sz w:val="24"/>
        </w:rPr>
        <w:t>’s</w:t>
      </w:r>
      <w:r w:rsidR="003E6562">
        <w:rPr>
          <w:rFonts w:ascii="Times New Roman" w:hAnsi="Times New Roman" w:cs="Times New Roman"/>
          <w:sz w:val="24"/>
        </w:rPr>
        <w:t xml:space="preserve"> </w:t>
      </w:r>
      <w:r w:rsidR="00175B9E">
        <w:rPr>
          <w:rFonts w:ascii="Times New Roman" w:hAnsi="Times New Roman" w:cs="Times New Roman"/>
          <w:sz w:val="24"/>
        </w:rPr>
        <w:t>s</w:t>
      </w:r>
      <w:r w:rsidR="003E6562">
        <w:rPr>
          <w:rFonts w:ascii="Times New Roman" w:hAnsi="Times New Roman" w:cs="Times New Roman"/>
          <w:sz w:val="24"/>
        </w:rPr>
        <w:t xml:space="preserve">tatement of N.J.S. 2A:50-56.1 </w:t>
      </w:r>
      <w:r w:rsidR="003E6562" w:rsidRPr="003E6562">
        <w:rPr>
          <w:rFonts w:ascii="Times New Roman" w:hAnsi="Times New Roman" w:cs="Times New Roman"/>
          <w:sz w:val="24"/>
        </w:rPr>
        <w:t xml:space="preserve">which </w:t>
      </w:r>
      <w:r w:rsidR="00175B9E">
        <w:rPr>
          <w:rFonts w:ascii="Times New Roman" w:hAnsi="Times New Roman" w:cs="Times New Roman"/>
          <w:sz w:val="24"/>
        </w:rPr>
        <w:t xml:space="preserve">described </w:t>
      </w:r>
      <w:r w:rsidR="00086973">
        <w:rPr>
          <w:rFonts w:ascii="Times New Roman" w:hAnsi="Times New Roman" w:cs="Times New Roman"/>
          <w:sz w:val="24"/>
        </w:rPr>
        <w:t>the manner in which</w:t>
      </w:r>
      <w:r w:rsidR="003E6562" w:rsidRPr="003E6562">
        <w:rPr>
          <w:rFonts w:ascii="Times New Roman" w:hAnsi="Times New Roman" w:cs="Times New Roman"/>
          <w:sz w:val="24"/>
        </w:rPr>
        <w:t xml:space="preserve"> the </w:t>
      </w:r>
      <w:r w:rsidR="00086973">
        <w:rPr>
          <w:rFonts w:ascii="Times New Roman" w:hAnsi="Times New Roman" w:cs="Times New Roman"/>
          <w:sz w:val="24"/>
        </w:rPr>
        <w:t>law</w:t>
      </w:r>
      <w:r w:rsidR="003E6562" w:rsidRPr="003E6562">
        <w:rPr>
          <w:rFonts w:ascii="Times New Roman" w:hAnsi="Times New Roman" w:cs="Times New Roman"/>
          <w:sz w:val="24"/>
        </w:rPr>
        <w:t xml:space="preserve"> would “resolve uncertainties” surrounding the statute of limitations for residential foreclosure actions </w:t>
      </w:r>
      <w:r w:rsidR="003E6562" w:rsidRPr="003E6562">
        <w:rPr>
          <w:rFonts w:ascii="Times New Roman" w:hAnsi="Times New Roman" w:cs="Times New Roman"/>
          <w:sz w:val="24"/>
        </w:rPr>
        <w:lastRenderedPageBreak/>
        <w:t>by “providing a specific statute of limitations of 20 years from the date of default by the debtor.”</w:t>
      </w:r>
      <w:r w:rsidR="003E6562">
        <w:rPr>
          <w:rStyle w:val="FootnoteReference"/>
          <w:rFonts w:ascii="Times New Roman" w:hAnsi="Times New Roman" w:cs="Times New Roman"/>
          <w:sz w:val="24"/>
        </w:rPr>
        <w:footnoteReference w:id="48"/>
      </w:r>
      <w:r w:rsidR="003E6562">
        <w:rPr>
          <w:rFonts w:ascii="Times New Roman" w:hAnsi="Times New Roman" w:cs="Times New Roman"/>
          <w:sz w:val="24"/>
        </w:rPr>
        <w:t xml:space="preserve"> </w:t>
      </w:r>
      <w:r w:rsidR="008B7D0A">
        <w:rPr>
          <w:rFonts w:ascii="Times New Roman" w:hAnsi="Times New Roman" w:cs="Times New Roman"/>
          <w:sz w:val="24"/>
        </w:rPr>
        <w:t xml:space="preserve">The Appellate Division began its analysis of the foregoing matter by noting that N.J.S. 2A:50-56.1 requires that foreclosure actions be commenced </w:t>
      </w:r>
      <w:r w:rsidR="009109CA">
        <w:rPr>
          <w:rFonts w:ascii="Times New Roman" w:hAnsi="Times New Roman" w:cs="Times New Roman"/>
          <w:sz w:val="24"/>
        </w:rPr>
        <w:t>either (a) 6 years from the date of maturity; (b) 36 years from the date of recording or execution; or (c) 20 years from the date of default by the debtor, whichever is earlier.</w:t>
      </w:r>
      <w:r w:rsidR="009109CA">
        <w:rPr>
          <w:rStyle w:val="FootnoteReference"/>
          <w:rFonts w:ascii="Times New Roman" w:hAnsi="Times New Roman" w:cs="Times New Roman"/>
          <w:sz w:val="24"/>
        </w:rPr>
        <w:footnoteReference w:id="49"/>
      </w:r>
      <w:r w:rsidR="00466676">
        <w:rPr>
          <w:rFonts w:ascii="Times New Roman" w:hAnsi="Times New Roman" w:cs="Times New Roman"/>
          <w:sz w:val="24"/>
        </w:rPr>
        <w:t xml:space="preserve"> </w:t>
      </w:r>
      <w:r w:rsidR="005025E9">
        <w:rPr>
          <w:rFonts w:ascii="Times New Roman" w:hAnsi="Times New Roman" w:cs="Times New Roman"/>
          <w:sz w:val="24"/>
        </w:rPr>
        <w:t>P</w:t>
      </w:r>
      <w:r w:rsidR="00466676">
        <w:rPr>
          <w:rFonts w:ascii="Times New Roman" w:hAnsi="Times New Roman" w:cs="Times New Roman"/>
          <w:sz w:val="24"/>
        </w:rPr>
        <w:t>rior to enactment of this provision, there was no statute of limitations for residential foreclosure suits.</w:t>
      </w:r>
      <w:r w:rsidR="00466676">
        <w:rPr>
          <w:rStyle w:val="FootnoteReference"/>
          <w:rFonts w:ascii="Times New Roman" w:hAnsi="Times New Roman" w:cs="Times New Roman"/>
          <w:sz w:val="24"/>
        </w:rPr>
        <w:footnoteReference w:id="50"/>
      </w:r>
      <w:r w:rsidR="00DC3373">
        <w:rPr>
          <w:rFonts w:ascii="Times New Roman" w:hAnsi="Times New Roman" w:cs="Times New Roman"/>
          <w:sz w:val="24"/>
        </w:rPr>
        <w:t xml:space="preserve"> Case law had previously relied on time limits set out in adverse possession statutes which imposed a 20 year window for filing suit.</w:t>
      </w:r>
      <w:r w:rsidR="00DC3373">
        <w:rPr>
          <w:rStyle w:val="FootnoteReference"/>
          <w:rFonts w:ascii="Times New Roman" w:hAnsi="Times New Roman" w:cs="Times New Roman"/>
          <w:sz w:val="24"/>
        </w:rPr>
        <w:footnoteReference w:id="51"/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9C5465" w:rsidRDefault="009C5465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6973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 mortgage in </w:t>
      </w:r>
      <w:r w:rsidR="00285210">
        <w:rPr>
          <w:rFonts w:ascii="Times New Roman" w:hAnsi="Times New Roman" w:cs="Times New Roman"/>
          <w:sz w:val="24"/>
        </w:rPr>
        <w:t>question had a maturity date of July 26, 2008.</w:t>
      </w:r>
      <w:r w:rsidR="00285210">
        <w:rPr>
          <w:rStyle w:val="FootnoteReference"/>
          <w:rFonts w:ascii="Times New Roman" w:hAnsi="Times New Roman" w:cs="Times New Roman"/>
          <w:sz w:val="24"/>
        </w:rPr>
        <w:footnoteReference w:id="52"/>
      </w:r>
      <w:r w:rsidR="0095492E">
        <w:rPr>
          <w:rFonts w:ascii="Times New Roman" w:hAnsi="Times New Roman" w:cs="Times New Roman"/>
          <w:sz w:val="24"/>
        </w:rPr>
        <w:t xml:space="preserve"> </w:t>
      </w:r>
      <w:r w:rsidR="00C61E3E">
        <w:rPr>
          <w:rFonts w:ascii="Times New Roman" w:hAnsi="Times New Roman" w:cs="Times New Roman"/>
          <w:sz w:val="24"/>
        </w:rPr>
        <w:t xml:space="preserve">The </w:t>
      </w:r>
      <w:r w:rsidR="0095492E">
        <w:rPr>
          <w:rFonts w:ascii="Times New Roman" w:hAnsi="Times New Roman" w:cs="Times New Roman"/>
          <w:sz w:val="24"/>
        </w:rPr>
        <w:t>Owens defaulted by not making a monthly payment in May 2008</w:t>
      </w:r>
      <w:r w:rsidR="00086973">
        <w:rPr>
          <w:rFonts w:ascii="Times New Roman" w:hAnsi="Times New Roman" w:cs="Times New Roman"/>
          <w:sz w:val="24"/>
        </w:rPr>
        <w:t>,</w:t>
      </w:r>
      <w:r w:rsidR="0095492E">
        <w:rPr>
          <w:rFonts w:ascii="Times New Roman" w:hAnsi="Times New Roman" w:cs="Times New Roman"/>
          <w:sz w:val="24"/>
        </w:rPr>
        <w:t xml:space="preserve"> and then failed to pay back the sum of the loan on the maturity date.</w:t>
      </w:r>
      <w:r w:rsidR="0095492E">
        <w:rPr>
          <w:rStyle w:val="FootnoteReference"/>
          <w:rFonts w:ascii="Times New Roman" w:hAnsi="Times New Roman" w:cs="Times New Roman"/>
          <w:sz w:val="24"/>
        </w:rPr>
        <w:footnoteReference w:id="53"/>
      </w:r>
      <w:r w:rsidR="0095492E">
        <w:rPr>
          <w:rFonts w:ascii="Times New Roman" w:hAnsi="Times New Roman" w:cs="Times New Roman"/>
          <w:sz w:val="24"/>
        </w:rPr>
        <w:t xml:space="preserve"> The statute of limitations applicable to this mortgage is 6 year</w:t>
      </w:r>
      <w:r w:rsidR="00086973">
        <w:rPr>
          <w:rFonts w:ascii="Times New Roman" w:hAnsi="Times New Roman" w:cs="Times New Roman"/>
          <w:sz w:val="24"/>
        </w:rPr>
        <w:t>s</w:t>
      </w:r>
      <w:r w:rsidR="0095492E">
        <w:rPr>
          <w:rFonts w:ascii="Times New Roman" w:hAnsi="Times New Roman" w:cs="Times New Roman"/>
          <w:sz w:val="24"/>
        </w:rPr>
        <w:t xml:space="preserve"> </w:t>
      </w:r>
      <w:r w:rsidR="00086973">
        <w:rPr>
          <w:rFonts w:ascii="Times New Roman" w:hAnsi="Times New Roman" w:cs="Times New Roman"/>
          <w:sz w:val="24"/>
        </w:rPr>
        <w:t>pursuant to</w:t>
      </w:r>
      <w:r w:rsidR="0095492E">
        <w:rPr>
          <w:rFonts w:ascii="Times New Roman" w:hAnsi="Times New Roman" w:cs="Times New Roman"/>
          <w:sz w:val="24"/>
        </w:rPr>
        <w:t xml:space="preserve"> N.J.S. 2A:50-56.1(a).</w:t>
      </w:r>
      <w:r w:rsidR="0095492E">
        <w:rPr>
          <w:rStyle w:val="FootnoteReference"/>
          <w:rFonts w:ascii="Times New Roman" w:hAnsi="Times New Roman" w:cs="Times New Roman"/>
          <w:sz w:val="24"/>
        </w:rPr>
        <w:footnoteReference w:id="54"/>
      </w:r>
      <w:r w:rsidR="009B0315">
        <w:rPr>
          <w:rFonts w:ascii="Times New Roman" w:hAnsi="Times New Roman" w:cs="Times New Roman"/>
          <w:sz w:val="24"/>
        </w:rPr>
        <w:t xml:space="preserve"> </w:t>
      </w:r>
      <w:r w:rsidR="00467CF4">
        <w:rPr>
          <w:rFonts w:ascii="Times New Roman" w:hAnsi="Times New Roman" w:cs="Times New Roman"/>
          <w:sz w:val="24"/>
        </w:rPr>
        <w:t>This meant that a foreclosure suit should have been filed between July 26, 2008 and July 26, 2014.</w:t>
      </w:r>
      <w:r w:rsidR="00467CF4">
        <w:rPr>
          <w:rStyle w:val="FootnoteReference"/>
          <w:rFonts w:ascii="Times New Roman" w:hAnsi="Times New Roman" w:cs="Times New Roman"/>
          <w:sz w:val="24"/>
        </w:rPr>
        <w:footnoteReference w:id="55"/>
      </w:r>
    </w:p>
    <w:p w:rsidR="00DC326B" w:rsidRDefault="00DC326B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406795" w:rsidRDefault="009B0315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While the text of the statute was clear, the Court found that the real issue was whether “the Legislature intended </w:t>
      </w:r>
      <w:r w:rsidR="00A16EBB">
        <w:rPr>
          <w:rFonts w:ascii="Times New Roman" w:hAnsi="Times New Roman" w:cs="Times New Roman"/>
          <w:sz w:val="24"/>
        </w:rPr>
        <w:t xml:space="preserve">that </w:t>
      </w:r>
      <w:r w:rsidR="007F198C">
        <w:rPr>
          <w:rFonts w:ascii="Times New Roman" w:hAnsi="Times New Roman" w:cs="Times New Roman"/>
          <w:sz w:val="24"/>
        </w:rPr>
        <w:t>… [</w:t>
      </w:r>
      <w:r w:rsidR="00A16EBB">
        <w:rPr>
          <w:rFonts w:ascii="Times New Roman" w:hAnsi="Times New Roman" w:cs="Times New Roman"/>
          <w:sz w:val="24"/>
        </w:rPr>
        <w:t>the statute] should be applied retroactively to Plaintiff’s complaint under these circumstances.”</w:t>
      </w:r>
      <w:r w:rsidR="00A16EBB">
        <w:rPr>
          <w:rStyle w:val="FootnoteReference"/>
          <w:rFonts w:ascii="Times New Roman" w:hAnsi="Times New Roman" w:cs="Times New Roman"/>
          <w:sz w:val="24"/>
        </w:rPr>
        <w:footnoteReference w:id="56"/>
      </w:r>
      <w:r w:rsidR="00A73AA6">
        <w:rPr>
          <w:rFonts w:ascii="Times New Roman" w:hAnsi="Times New Roman" w:cs="Times New Roman"/>
          <w:sz w:val="24"/>
        </w:rPr>
        <w:t xml:space="preserve"> In recounting settled principles of statutory construction </w:t>
      </w:r>
      <w:r w:rsidR="005824A5">
        <w:rPr>
          <w:rFonts w:ascii="Times New Roman" w:hAnsi="Times New Roman" w:cs="Times New Roman"/>
          <w:sz w:val="24"/>
        </w:rPr>
        <w:t>on</w:t>
      </w:r>
      <w:r w:rsidR="00A73AA6">
        <w:rPr>
          <w:rFonts w:ascii="Times New Roman" w:hAnsi="Times New Roman" w:cs="Times New Roman"/>
          <w:sz w:val="24"/>
        </w:rPr>
        <w:t xml:space="preserve"> this issue, the Court first stated that New Jersey Courts have held that statutes are generally given prospective application.</w:t>
      </w:r>
      <w:r w:rsidR="00A73AA6">
        <w:rPr>
          <w:rStyle w:val="FootnoteReference"/>
          <w:rFonts w:ascii="Times New Roman" w:hAnsi="Times New Roman" w:cs="Times New Roman"/>
          <w:sz w:val="24"/>
        </w:rPr>
        <w:footnoteReference w:id="57"/>
      </w:r>
      <w:r w:rsidR="007F198C">
        <w:rPr>
          <w:rFonts w:ascii="Times New Roman" w:hAnsi="Times New Roman" w:cs="Times New Roman"/>
          <w:sz w:val="24"/>
        </w:rPr>
        <w:t xml:space="preserve"> However, pursuant to the New Jersey Supreme Court’s decision in </w:t>
      </w:r>
      <w:r w:rsidR="007F198C">
        <w:rPr>
          <w:rFonts w:ascii="Times New Roman" w:hAnsi="Times New Roman" w:cs="Times New Roman"/>
          <w:i/>
          <w:sz w:val="24"/>
        </w:rPr>
        <w:t>In re D.C.</w:t>
      </w:r>
      <w:r w:rsidR="007F198C">
        <w:rPr>
          <w:rFonts w:ascii="Times New Roman" w:hAnsi="Times New Roman" w:cs="Times New Roman"/>
          <w:sz w:val="24"/>
        </w:rPr>
        <w:t xml:space="preserve">, two inquiries govern whether a statute </w:t>
      </w:r>
      <w:r w:rsidR="00270FD8">
        <w:rPr>
          <w:rFonts w:ascii="Times New Roman" w:hAnsi="Times New Roman" w:cs="Times New Roman"/>
          <w:sz w:val="24"/>
        </w:rPr>
        <w:t>can be applied retroactively.</w:t>
      </w:r>
      <w:r w:rsidR="00270FD8">
        <w:rPr>
          <w:rStyle w:val="FootnoteReference"/>
          <w:rFonts w:ascii="Times New Roman" w:hAnsi="Times New Roman" w:cs="Times New Roman"/>
          <w:sz w:val="24"/>
        </w:rPr>
        <w:footnoteReference w:id="58"/>
      </w:r>
      <w:r w:rsidR="0042067E">
        <w:rPr>
          <w:rFonts w:ascii="Times New Roman" w:hAnsi="Times New Roman" w:cs="Times New Roman"/>
          <w:sz w:val="24"/>
        </w:rPr>
        <w:t xml:space="preserve">  Courts will first look at </w:t>
      </w:r>
    </w:p>
    <w:p w:rsidR="001816D7" w:rsidRDefault="001816D7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406795" w:rsidRDefault="0042067E" w:rsidP="00DC326B">
      <w:pPr>
        <w:spacing w:after="0" w:line="259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82DC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) “whether the Legislature intended to give the statute retroactive application” and </w:t>
      </w:r>
    </w:p>
    <w:p w:rsidR="00406795" w:rsidRDefault="0042067E" w:rsidP="00DC326B">
      <w:pPr>
        <w:spacing w:after="0" w:line="259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82DC6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) “whether retroactive application of that statute will result in either an unconstitutional interference with ‘vested rights’ or a ‘manifest injustice.’”</w:t>
      </w:r>
      <w:r>
        <w:rPr>
          <w:rStyle w:val="FootnoteReference"/>
          <w:rFonts w:ascii="Times New Roman" w:hAnsi="Times New Roman" w:cs="Times New Roman"/>
          <w:sz w:val="24"/>
        </w:rPr>
        <w:footnoteReference w:id="59"/>
      </w:r>
      <w:r w:rsidR="00063D9A">
        <w:rPr>
          <w:rFonts w:ascii="Times New Roman" w:hAnsi="Times New Roman" w:cs="Times New Roman"/>
          <w:sz w:val="24"/>
        </w:rPr>
        <w:t xml:space="preserve"> </w:t>
      </w:r>
    </w:p>
    <w:p w:rsidR="00406795" w:rsidRDefault="00406795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9B0315" w:rsidRDefault="00063D9A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conducting the first inquiry, specific</w:t>
      </w:r>
      <w:r w:rsidR="00773F06">
        <w:rPr>
          <w:rFonts w:ascii="Times New Roman" w:hAnsi="Times New Roman" w:cs="Times New Roman"/>
          <w:sz w:val="24"/>
        </w:rPr>
        <w:t xml:space="preserve"> instances where retroactive application will result are:</w:t>
      </w:r>
    </w:p>
    <w:p w:rsidR="00063D9A" w:rsidRDefault="00063D9A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773F06" w:rsidRDefault="00773F06" w:rsidP="00DC326B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 intention to apply a statute retroactively has been declared either explicitly or implicitly;</w:t>
      </w:r>
    </w:p>
    <w:p w:rsidR="00773F06" w:rsidRDefault="00773F06" w:rsidP="00DC326B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 statute is intended to be curative; and</w:t>
      </w:r>
    </w:p>
    <w:p w:rsidR="00773F06" w:rsidRDefault="00773F06" w:rsidP="00DC326B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parties expect such applications of the law to occur</w:t>
      </w:r>
      <w:r>
        <w:rPr>
          <w:rStyle w:val="FootnoteReference"/>
          <w:rFonts w:ascii="Times New Roman" w:hAnsi="Times New Roman" w:cs="Times New Roman"/>
          <w:sz w:val="24"/>
        </w:rPr>
        <w:footnoteReference w:id="60"/>
      </w:r>
    </w:p>
    <w:p w:rsidR="008E6C6A" w:rsidRDefault="005B658D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</w:t>
      </w:r>
      <w:r w:rsidR="00063D9A">
        <w:rPr>
          <w:rFonts w:ascii="Times New Roman" w:hAnsi="Times New Roman" w:cs="Times New Roman"/>
          <w:sz w:val="24"/>
        </w:rPr>
        <w:t xml:space="preserve">he Court first explained that explicit mention of </w:t>
      </w:r>
      <w:r w:rsidR="00C87D0E">
        <w:rPr>
          <w:rFonts w:ascii="Times New Roman" w:hAnsi="Times New Roman" w:cs="Times New Roman"/>
          <w:sz w:val="24"/>
        </w:rPr>
        <w:t>a</w:t>
      </w:r>
      <w:r w:rsidR="00063D9A">
        <w:rPr>
          <w:rFonts w:ascii="Times New Roman" w:hAnsi="Times New Roman" w:cs="Times New Roman"/>
          <w:sz w:val="24"/>
        </w:rPr>
        <w:t xml:space="preserve"> statute applying retroactively can be found in </w:t>
      </w:r>
      <w:r w:rsidR="00C87D0E">
        <w:rPr>
          <w:rFonts w:ascii="Times New Roman" w:hAnsi="Times New Roman" w:cs="Times New Roman"/>
          <w:sz w:val="24"/>
        </w:rPr>
        <w:t>either the text or legislative history of a statute</w:t>
      </w:r>
      <w:r w:rsidR="00AC2030">
        <w:rPr>
          <w:rFonts w:ascii="Times New Roman" w:hAnsi="Times New Roman" w:cs="Times New Roman"/>
          <w:sz w:val="24"/>
        </w:rPr>
        <w:t>.</w:t>
      </w:r>
      <w:r w:rsidR="00AC2030">
        <w:rPr>
          <w:rStyle w:val="FootnoteReference"/>
          <w:rFonts w:ascii="Times New Roman" w:hAnsi="Times New Roman" w:cs="Times New Roman"/>
          <w:sz w:val="24"/>
        </w:rPr>
        <w:footnoteReference w:id="61"/>
      </w:r>
      <w:r w:rsidR="00C87D0E">
        <w:rPr>
          <w:rFonts w:ascii="Times New Roman" w:hAnsi="Times New Roman" w:cs="Times New Roman"/>
          <w:sz w:val="24"/>
        </w:rPr>
        <w:t xml:space="preserve"> </w:t>
      </w:r>
      <w:r w:rsidR="00690B04">
        <w:rPr>
          <w:rFonts w:ascii="Times New Roman" w:hAnsi="Times New Roman" w:cs="Times New Roman"/>
          <w:sz w:val="24"/>
        </w:rPr>
        <w:t>I</w:t>
      </w:r>
      <w:r w:rsidR="00C87D0E">
        <w:rPr>
          <w:rFonts w:ascii="Times New Roman" w:hAnsi="Times New Roman" w:cs="Times New Roman"/>
          <w:sz w:val="24"/>
        </w:rPr>
        <w:t xml:space="preserve">mplicit intention </w:t>
      </w:r>
      <w:r w:rsidR="00F075A5">
        <w:rPr>
          <w:rFonts w:ascii="Times New Roman" w:hAnsi="Times New Roman" w:cs="Times New Roman"/>
          <w:sz w:val="24"/>
        </w:rPr>
        <w:t>can be found</w:t>
      </w:r>
      <w:r w:rsidR="00C87D0E">
        <w:rPr>
          <w:rFonts w:ascii="Times New Roman" w:hAnsi="Times New Roman" w:cs="Times New Roman"/>
          <w:sz w:val="24"/>
        </w:rPr>
        <w:t xml:space="preserve"> </w:t>
      </w:r>
      <w:r w:rsidR="00AC2030">
        <w:rPr>
          <w:rFonts w:ascii="Times New Roman" w:hAnsi="Times New Roman" w:cs="Times New Roman"/>
          <w:sz w:val="24"/>
        </w:rPr>
        <w:t>when such application</w:t>
      </w:r>
      <w:r w:rsidR="00C87D0E">
        <w:rPr>
          <w:rFonts w:ascii="Times New Roman" w:hAnsi="Times New Roman" w:cs="Times New Roman"/>
          <w:sz w:val="24"/>
        </w:rPr>
        <w:t xml:space="preserve"> gives the statute its most sensible interpretation.</w:t>
      </w:r>
      <w:r w:rsidR="00C87D0E">
        <w:rPr>
          <w:rStyle w:val="FootnoteReference"/>
          <w:rFonts w:ascii="Times New Roman" w:hAnsi="Times New Roman" w:cs="Times New Roman"/>
          <w:sz w:val="24"/>
        </w:rPr>
        <w:footnoteReference w:id="62"/>
      </w:r>
      <w:r w:rsidR="00AC2030">
        <w:rPr>
          <w:rFonts w:ascii="Times New Roman" w:hAnsi="Times New Roman" w:cs="Times New Roman"/>
          <w:sz w:val="24"/>
        </w:rPr>
        <w:t xml:space="preserve"> </w:t>
      </w:r>
      <w:r w:rsidR="0066237E">
        <w:rPr>
          <w:rFonts w:ascii="Times New Roman" w:hAnsi="Times New Roman" w:cs="Times New Roman"/>
          <w:sz w:val="24"/>
        </w:rPr>
        <w:t xml:space="preserve">Courts </w:t>
      </w:r>
      <w:r w:rsidR="00FA7B3E">
        <w:rPr>
          <w:rFonts w:ascii="Times New Roman" w:hAnsi="Times New Roman" w:cs="Times New Roman"/>
          <w:sz w:val="24"/>
        </w:rPr>
        <w:t>presume</w:t>
      </w:r>
      <w:r w:rsidR="0066237E">
        <w:rPr>
          <w:rFonts w:ascii="Times New Roman" w:hAnsi="Times New Roman" w:cs="Times New Roman"/>
          <w:sz w:val="24"/>
        </w:rPr>
        <w:t xml:space="preserve"> prospective application of a statute when the Legislature is silent on </w:t>
      </w:r>
      <w:r w:rsidR="00FA7B3E">
        <w:rPr>
          <w:rFonts w:ascii="Times New Roman" w:hAnsi="Times New Roman" w:cs="Times New Roman"/>
          <w:sz w:val="24"/>
        </w:rPr>
        <w:t>that</w:t>
      </w:r>
      <w:r w:rsidR="0066237E">
        <w:rPr>
          <w:rFonts w:ascii="Times New Roman" w:hAnsi="Times New Roman" w:cs="Times New Roman"/>
          <w:sz w:val="24"/>
        </w:rPr>
        <w:t xml:space="preserve"> issue because</w:t>
      </w:r>
      <w:r w:rsidR="00AD5160">
        <w:rPr>
          <w:rFonts w:ascii="Times New Roman" w:hAnsi="Times New Roman" w:cs="Times New Roman"/>
          <w:sz w:val="24"/>
        </w:rPr>
        <w:t>,</w:t>
      </w:r>
      <w:r w:rsidR="0066237E">
        <w:rPr>
          <w:rFonts w:ascii="Times New Roman" w:hAnsi="Times New Roman" w:cs="Times New Roman"/>
          <w:sz w:val="24"/>
        </w:rPr>
        <w:t xml:space="preserve"> absent any indication to the contrary, the Legislature </w:t>
      </w:r>
      <w:r w:rsidR="00541F37">
        <w:rPr>
          <w:rFonts w:ascii="Times New Roman" w:hAnsi="Times New Roman" w:cs="Times New Roman"/>
          <w:sz w:val="24"/>
        </w:rPr>
        <w:t>passes laws with the knowledge that courts usually enforce newly enacted statutes prospectively.</w:t>
      </w:r>
      <w:r w:rsidR="00541F37">
        <w:rPr>
          <w:rStyle w:val="FootnoteReference"/>
          <w:rFonts w:ascii="Times New Roman" w:hAnsi="Times New Roman" w:cs="Times New Roman"/>
          <w:sz w:val="24"/>
        </w:rPr>
        <w:footnoteReference w:id="63"/>
      </w:r>
      <w:r w:rsidR="006D1E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8E6C6A">
        <w:rPr>
          <w:rFonts w:ascii="Times New Roman" w:hAnsi="Times New Roman" w:cs="Times New Roman"/>
          <w:sz w:val="24"/>
        </w:rPr>
        <w:t xml:space="preserve">he Court </w:t>
      </w:r>
      <w:r>
        <w:rPr>
          <w:rFonts w:ascii="Times New Roman" w:hAnsi="Times New Roman" w:cs="Times New Roman"/>
          <w:sz w:val="24"/>
        </w:rPr>
        <w:t xml:space="preserve">also </w:t>
      </w:r>
      <w:r w:rsidR="008E6C6A">
        <w:rPr>
          <w:rFonts w:ascii="Times New Roman" w:hAnsi="Times New Roman" w:cs="Times New Roman"/>
          <w:sz w:val="24"/>
        </w:rPr>
        <w:t>discussed when a statute can be considered “curative”</w:t>
      </w:r>
      <w:r w:rsidR="006D1E77">
        <w:rPr>
          <w:rFonts w:ascii="Times New Roman" w:hAnsi="Times New Roman" w:cs="Times New Roman"/>
          <w:sz w:val="24"/>
        </w:rPr>
        <w:t xml:space="preserve"> and noted that laws of this </w:t>
      </w:r>
      <w:r>
        <w:rPr>
          <w:rFonts w:ascii="Times New Roman" w:hAnsi="Times New Roman" w:cs="Times New Roman"/>
          <w:sz w:val="24"/>
        </w:rPr>
        <w:t>type</w:t>
      </w:r>
      <w:r w:rsidR="006D1E77">
        <w:rPr>
          <w:rFonts w:ascii="Times New Roman" w:hAnsi="Times New Roman" w:cs="Times New Roman"/>
          <w:sz w:val="24"/>
        </w:rPr>
        <w:t xml:space="preserve"> </w:t>
      </w:r>
      <w:r w:rsidR="00805241">
        <w:rPr>
          <w:rFonts w:ascii="Times New Roman" w:hAnsi="Times New Roman" w:cs="Times New Roman"/>
          <w:sz w:val="24"/>
        </w:rPr>
        <w:t>are enacted to “remedy a perceived imperfection in or misapplication of the statute” and explain or clarif</w:t>
      </w:r>
      <w:r>
        <w:rPr>
          <w:rFonts w:ascii="Times New Roman" w:hAnsi="Times New Roman" w:cs="Times New Roman"/>
          <w:sz w:val="24"/>
        </w:rPr>
        <w:t>y</w:t>
      </w:r>
      <w:r w:rsidR="00805241">
        <w:rPr>
          <w:rFonts w:ascii="Times New Roman" w:hAnsi="Times New Roman" w:cs="Times New Roman"/>
          <w:sz w:val="24"/>
        </w:rPr>
        <w:t xml:space="preserve"> existing</w:t>
      </w:r>
      <w:r w:rsidR="004118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statutes</w:t>
      </w:r>
      <w:r w:rsidR="00805241">
        <w:rPr>
          <w:rFonts w:ascii="Times New Roman" w:hAnsi="Times New Roman" w:cs="Times New Roman"/>
          <w:sz w:val="24"/>
        </w:rPr>
        <w:t>.</w:t>
      </w:r>
      <w:r w:rsidR="008E6C6A">
        <w:rPr>
          <w:rStyle w:val="FootnoteReference"/>
          <w:rFonts w:ascii="Times New Roman" w:hAnsi="Times New Roman" w:cs="Times New Roman"/>
          <w:sz w:val="24"/>
        </w:rPr>
        <w:footnoteReference w:id="64"/>
      </w:r>
      <w:r w:rsidR="006D1E77">
        <w:rPr>
          <w:rFonts w:ascii="Times New Roman" w:hAnsi="Times New Roman" w:cs="Times New Roman"/>
          <w:sz w:val="24"/>
        </w:rPr>
        <w:t xml:space="preserve"> </w:t>
      </w:r>
    </w:p>
    <w:p w:rsidR="00DC326B" w:rsidRDefault="00DC326B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84896" w:rsidRDefault="00805241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this case, the Court found that N.J.S. 2A:50-56.1</w:t>
      </w:r>
      <w:r w:rsidR="00CF783C">
        <w:rPr>
          <w:rFonts w:ascii="Times New Roman" w:hAnsi="Times New Roman" w:cs="Times New Roman"/>
          <w:sz w:val="24"/>
        </w:rPr>
        <w:t xml:space="preserve"> could not be applied retroactive</w:t>
      </w:r>
      <w:r w:rsidR="0073084B">
        <w:rPr>
          <w:rFonts w:ascii="Times New Roman" w:hAnsi="Times New Roman" w:cs="Times New Roman"/>
          <w:sz w:val="24"/>
        </w:rPr>
        <w:t>ly</w:t>
      </w:r>
      <w:r w:rsidR="00CF783C">
        <w:rPr>
          <w:rFonts w:ascii="Times New Roman" w:hAnsi="Times New Roman" w:cs="Times New Roman"/>
          <w:sz w:val="24"/>
        </w:rPr>
        <w:t>.</w:t>
      </w:r>
      <w:r w:rsidR="00CF783C">
        <w:rPr>
          <w:rStyle w:val="FootnoteReference"/>
          <w:rFonts w:ascii="Times New Roman" w:hAnsi="Times New Roman" w:cs="Times New Roman"/>
          <w:sz w:val="24"/>
        </w:rPr>
        <w:footnoteReference w:id="65"/>
      </w:r>
      <w:r>
        <w:rPr>
          <w:rFonts w:ascii="Times New Roman" w:hAnsi="Times New Roman" w:cs="Times New Roman"/>
          <w:sz w:val="24"/>
        </w:rPr>
        <w:t xml:space="preserve"> </w:t>
      </w:r>
      <w:r w:rsidR="0073084B">
        <w:rPr>
          <w:rFonts w:ascii="Times New Roman" w:hAnsi="Times New Roman" w:cs="Times New Roman"/>
          <w:sz w:val="24"/>
        </w:rPr>
        <w:t xml:space="preserve">The </w:t>
      </w:r>
      <w:r w:rsidR="005B658D">
        <w:rPr>
          <w:rFonts w:ascii="Times New Roman" w:hAnsi="Times New Roman" w:cs="Times New Roman"/>
          <w:sz w:val="24"/>
        </w:rPr>
        <w:t>Court said that</w:t>
      </w:r>
      <w:r w:rsidR="0073084B">
        <w:rPr>
          <w:rFonts w:ascii="Times New Roman" w:hAnsi="Times New Roman" w:cs="Times New Roman"/>
          <w:sz w:val="24"/>
        </w:rPr>
        <w:t xml:space="preserve"> it was not</w:t>
      </w:r>
      <w:r>
        <w:rPr>
          <w:rFonts w:ascii="Times New Roman" w:hAnsi="Times New Roman" w:cs="Times New Roman"/>
          <w:sz w:val="24"/>
        </w:rPr>
        <w:t xml:space="preserve"> curative</w:t>
      </w:r>
      <w:r w:rsidR="0073084B">
        <w:rPr>
          <w:rFonts w:ascii="Times New Roman" w:hAnsi="Times New Roman" w:cs="Times New Roman"/>
          <w:sz w:val="24"/>
        </w:rPr>
        <w:t>;</w:t>
      </w:r>
      <w:r w:rsidR="0030186D">
        <w:rPr>
          <w:rFonts w:ascii="Times New Roman" w:hAnsi="Times New Roman" w:cs="Times New Roman"/>
          <w:sz w:val="24"/>
        </w:rPr>
        <w:t xml:space="preserve"> it did not </w:t>
      </w:r>
      <w:r w:rsidR="00DA0A37">
        <w:rPr>
          <w:rFonts w:ascii="Times New Roman" w:hAnsi="Times New Roman" w:cs="Times New Roman"/>
          <w:sz w:val="24"/>
        </w:rPr>
        <w:t xml:space="preserve">explain or clarify upon </w:t>
      </w:r>
      <w:r w:rsidR="004118B1">
        <w:rPr>
          <w:rFonts w:ascii="Times New Roman" w:hAnsi="Times New Roman" w:cs="Times New Roman"/>
          <w:sz w:val="24"/>
        </w:rPr>
        <w:t>a preexisting statutory provision.</w:t>
      </w:r>
      <w:r>
        <w:rPr>
          <w:rStyle w:val="FootnoteReference"/>
          <w:rFonts w:ascii="Times New Roman" w:hAnsi="Times New Roman" w:cs="Times New Roman"/>
          <w:sz w:val="24"/>
        </w:rPr>
        <w:footnoteReference w:id="66"/>
      </w:r>
      <w:r w:rsidR="004118B1">
        <w:rPr>
          <w:rFonts w:ascii="Times New Roman" w:hAnsi="Times New Roman" w:cs="Times New Roman"/>
          <w:sz w:val="24"/>
        </w:rPr>
        <w:t xml:space="preserve"> Prior to enactment of th</w:t>
      </w:r>
      <w:r w:rsidR="00CC6033">
        <w:rPr>
          <w:rFonts w:ascii="Times New Roman" w:hAnsi="Times New Roman" w:cs="Times New Roman"/>
          <w:sz w:val="24"/>
        </w:rPr>
        <w:t xml:space="preserve">is </w:t>
      </w:r>
      <w:r w:rsidR="00677503">
        <w:rPr>
          <w:rFonts w:ascii="Times New Roman" w:hAnsi="Times New Roman" w:cs="Times New Roman"/>
          <w:sz w:val="24"/>
        </w:rPr>
        <w:t>provision,</w:t>
      </w:r>
      <w:r w:rsidR="0073084B">
        <w:rPr>
          <w:rFonts w:ascii="Times New Roman" w:hAnsi="Times New Roman" w:cs="Times New Roman"/>
          <w:sz w:val="24"/>
        </w:rPr>
        <w:t xml:space="preserve"> residential foreclosure actions were governed by case law, not statute.</w:t>
      </w:r>
      <w:r w:rsidR="0073084B">
        <w:rPr>
          <w:rStyle w:val="FootnoteReference"/>
          <w:rFonts w:ascii="Times New Roman" w:hAnsi="Times New Roman" w:cs="Times New Roman"/>
          <w:sz w:val="24"/>
        </w:rPr>
        <w:footnoteReference w:id="67"/>
      </w:r>
      <w:r w:rsidR="00383861">
        <w:rPr>
          <w:rFonts w:ascii="Times New Roman" w:hAnsi="Times New Roman" w:cs="Times New Roman"/>
          <w:sz w:val="24"/>
        </w:rPr>
        <w:t xml:space="preserve"> Therefore, it was reversible error for the </w:t>
      </w:r>
      <w:r w:rsidR="005B658D">
        <w:rPr>
          <w:rFonts w:ascii="Times New Roman" w:hAnsi="Times New Roman" w:cs="Times New Roman"/>
          <w:sz w:val="24"/>
        </w:rPr>
        <w:t>Court below</w:t>
      </w:r>
      <w:r w:rsidR="00383861">
        <w:rPr>
          <w:rFonts w:ascii="Times New Roman" w:hAnsi="Times New Roman" w:cs="Times New Roman"/>
          <w:sz w:val="24"/>
        </w:rPr>
        <w:t xml:space="preserve"> to apply N.J.S. 2A:50-56.1 retroactively.</w:t>
      </w:r>
      <w:r w:rsidR="00383861">
        <w:rPr>
          <w:rStyle w:val="FootnoteReference"/>
          <w:rFonts w:ascii="Times New Roman" w:hAnsi="Times New Roman" w:cs="Times New Roman"/>
          <w:sz w:val="24"/>
        </w:rPr>
        <w:footnoteReference w:id="68"/>
      </w:r>
    </w:p>
    <w:p w:rsidR="00DC326B" w:rsidRDefault="00DC326B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6D6E3C" w:rsidRDefault="006D6E3C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Although the primary reason for reversing the retroactive </w:t>
      </w:r>
      <w:r w:rsidR="005B658D">
        <w:rPr>
          <w:rFonts w:ascii="Times New Roman" w:hAnsi="Times New Roman" w:cs="Times New Roman"/>
          <w:sz w:val="24"/>
        </w:rPr>
        <w:t>application</w:t>
      </w:r>
      <w:r>
        <w:rPr>
          <w:rFonts w:ascii="Times New Roman" w:hAnsi="Times New Roman" w:cs="Times New Roman"/>
          <w:sz w:val="24"/>
        </w:rPr>
        <w:t xml:space="preserve"> of the statute was its lack of a curative element, the Appellate Division also </w:t>
      </w:r>
      <w:r w:rsidR="00E858B1">
        <w:rPr>
          <w:rFonts w:ascii="Times New Roman" w:hAnsi="Times New Roman" w:cs="Times New Roman"/>
          <w:sz w:val="24"/>
        </w:rPr>
        <w:t>noted that other situations that could have warranted retroactive enforcement of the statute were not present.</w:t>
      </w:r>
      <w:r w:rsidR="00E858B1">
        <w:rPr>
          <w:rStyle w:val="FootnoteReference"/>
          <w:rFonts w:ascii="Times New Roman" w:hAnsi="Times New Roman" w:cs="Times New Roman"/>
          <w:sz w:val="24"/>
        </w:rPr>
        <w:footnoteReference w:id="69"/>
      </w:r>
      <w:r w:rsidR="006110D7">
        <w:rPr>
          <w:rFonts w:ascii="Times New Roman" w:hAnsi="Times New Roman" w:cs="Times New Roman"/>
          <w:sz w:val="24"/>
        </w:rPr>
        <w:t xml:space="preserve"> </w:t>
      </w:r>
      <w:r w:rsidR="005358C7">
        <w:rPr>
          <w:rFonts w:ascii="Times New Roman" w:hAnsi="Times New Roman" w:cs="Times New Roman"/>
          <w:sz w:val="24"/>
        </w:rPr>
        <w:t>The text of the statute did not indicate it applied retroactively nor was there extrinsic evidence the Legislature wanted this provision retroactively</w:t>
      </w:r>
      <w:r w:rsidR="00AD5160">
        <w:rPr>
          <w:rFonts w:ascii="Times New Roman" w:hAnsi="Times New Roman" w:cs="Times New Roman"/>
          <w:sz w:val="24"/>
        </w:rPr>
        <w:t xml:space="preserve"> applied</w:t>
      </w:r>
      <w:r w:rsidR="005358C7">
        <w:rPr>
          <w:rFonts w:ascii="Times New Roman" w:hAnsi="Times New Roman" w:cs="Times New Roman"/>
          <w:sz w:val="24"/>
        </w:rPr>
        <w:t>.</w:t>
      </w:r>
      <w:r w:rsidR="005358C7">
        <w:rPr>
          <w:rStyle w:val="FootnoteReference"/>
          <w:rFonts w:ascii="Times New Roman" w:hAnsi="Times New Roman" w:cs="Times New Roman"/>
          <w:sz w:val="24"/>
        </w:rPr>
        <w:footnoteReference w:id="70"/>
      </w:r>
    </w:p>
    <w:p w:rsidR="00DC326B" w:rsidRDefault="00DC326B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973FBD" w:rsidRDefault="00973FBD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light of the foregoing considerations, the Appellate Division held that the Plaintiff’s foreclosure action was not subject to retroactive application of N.J.S. 2A:50-56.1 and therefore a 20</w:t>
      </w:r>
      <w:r w:rsidR="005B658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year statute of limitations </w:t>
      </w:r>
      <w:r w:rsidR="001052BC">
        <w:rPr>
          <w:rFonts w:ascii="Times New Roman" w:hAnsi="Times New Roman" w:cs="Times New Roman"/>
          <w:sz w:val="24"/>
        </w:rPr>
        <w:t>governed</w:t>
      </w:r>
      <w:r>
        <w:rPr>
          <w:rFonts w:ascii="Times New Roman" w:hAnsi="Times New Roman" w:cs="Times New Roman"/>
          <w:sz w:val="24"/>
        </w:rPr>
        <w:t>.</w:t>
      </w:r>
      <w:r>
        <w:rPr>
          <w:rStyle w:val="FootnoteReference"/>
          <w:rFonts w:ascii="Times New Roman" w:hAnsi="Times New Roman" w:cs="Times New Roman"/>
          <w:sz w:val="24"/>
        </w:rPr>
        <w:footnoteReference w:id="71"/>
      </w:r>
    </w:p>
    <w:p w:rsidR="000E09CB" w:rsidRDefault="000E09CB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E09CB" w:rsidRDefault="000245E4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Searches of the New Jersey Courts website and Westlaw have revealed</w:t>
      </w:r>
      <w:r w:rsidR="00B73ED7" w:rsidRPr="00B73ED7">
        <w:rPr>
          <w:rFonts w:ascii="Times New Roman" w:hAnsi="Times New Roman" w:cs="Times New Roman"/>
          <w:sz w:val="24"/>
        </w:rPr>
        <w:t xml:space="preserve"> no petition for cer</w:t>
      </w:r>
      <w:r>
        <w:rPr>
          <w:rFonts w:ascii="Times New Roman" w:hAnsi="Times New Roman" w:cs="Times New Roman"/>
          <w:sz w:val="24"/>
        </w:rPr>
        <w:t>tification on file</w:t>
      </w:r>
      <w:r w:rsidR="00B73ED7" w:rsidRPr="00B73ED7">
        <w:rPr>
          <w:rFonts w:ascii="Times New Roman" w:hAnsi="Times New Roman" w:cs="Times New Roman"/>
          <w:sz w:val="24"/>
        </w:rPr>
        <w:t xml:space="preserve"> with the New Jersey Supreme Court</w:t>
      </w:r>
      <w:r w:rsidR="00B73ED7">
        <w:rPr>
          <w:rFonts w:ascii="Times New Roman" w:hAnsi="Times New Roman" w:cs="Times New Roman"/>
          <w:sz w:val="24"/>
        </w:rPr>
        <w:t>.</w:t>
      </w:r>
      <w:r w:rsidR="00B73ED7">
        <w:rPr>
          <w:rStyle w:val="FootnoteReference"/>
          <w:rFonts w:ascii="Times New Roman" w:hAnsi="Times New Roman" w:cs="Times New Roman"/>
          <w:sz w:val="24"/>
        </w:rPr>
        <w:footnoteReference w:id="72"/>
      </w:r>
    </w:p>
    <w:p w:rsidR="00E817F8" w:rsidRDefault="00E817F8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E817F8" w:rsidRDefault="00E817F8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973FBD" w:rsidRDefault="00973FBD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973FBD" w:rsidRDefault="00973FBD" w:rsidP="00DC326B">
      <w:pPr>
        <w:spacing w:after="0"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Recent Legislative Action</w:t>
      </w:r>
    </w:p>
    <w:p w:rsidR="006F1831" w:rsidRDefault="006F1831" w:rsidP="00DC326B">
      <w:pPr>
        <w:spacing w:after="0" w:line="259" w:lineRule="auto"/>
        <w:jc w:val="both"/>
        <w:rPr>
          <w:rFonts w:ascii="Times New Roman" w:hAnsi="Times New Roman" w:cs="Times New Roman"/>
          <w:b/>
          <w:sz w:val="24"/>
        </w:rPr>
      </w:pPr>
    </w:p>
    <w:p w:rsidR="008B5BB2" w:rsidRDefault="00D1592D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April 29, 2019,</w:t>
      </w:r>
      <w:r w:rsidR="009250C6">
        <w:rPr>
          <w:rFonts w:ascii="Times New Roman" w:hAnsi="Times New Roman" w:cs="Times New Roman"/>
          <w:sz w:val="24"/>
        </w:rPr>
        <w:t xml:space="preserve"> </w:t>
      </w:r>
      <w:r w:rsidR="00DC326B">
        <w:rPr>
          <w:rFonts w:ascii="Times New Roman" w:hAnsi="Times New Roman" w:cs="Times New Roman"/>
          <w:sz w:val="24"/>
        </w:rPr>
        <w:t>nine</w:t>
      </w:r>
      <w:r w:rsidR="00F713EE">
        <w:rPr>
          <w:rFonts w:ascii="Times New Roman" w:hAnsi="Times New Roman" w:cs="Times New Roman"/>
          <w:sz w:val="24"/>
        </w:rPr>
        <w:t xml:space="preserve"> </w:t>
      </w:r>
      <w:r w:rsidR="009250C6">
        <w:rPr>
          <w:rFonts w:ascii="Times New Roman" w:hAnsi="Times New Roman" w:cs="Times New Roman"/>
          <w:sz w:val="24"/>
        </w:rPr>
        <w:t xml:space="preserve">bills </w:t>
      </w:r>
      <w:r w:rsidR="00DC326B">
        <w:rPr>
          <w:rFonts w:ascii="Times New Roman" w:hAnsi="Times New Roman" w:cs="Times New Roman"/>
          <w:sz w:val="24"/>
        </w:rPr>
        <w:t xml:space="preserve">with bipartisan support </w:t>
      </w:r>
      <w:r w:rsidR="009250C6">
        <w:rPr>
          <w:rFonts w:ascii="Times New Roman" w:hAnsi="Times New Roman" w:cs="Times New Roman"/>
          <w:sz w:val="24"/>
        </w:rPr>
        <w:t xml:space="preserve">were </w:t>
      </w:r>
      <w:r w:rsidR="00937FE5">
        <w:rPr>
          <w:rFonts w:ascii="Times New Roman" w:hAnsi="Times New Roman" w:cs="Times New Roman"/>
          <w:sz w:val="24"/>
        </w:rPr>
        <w:t>signed by Governor Murphy to address</w:t>
      </w:r>
      <w:r w:rsidR="00D57BBD">
        <w:rPr>
          <w:rFonts w:ascii="Times New Roman" w:hAnsi="Times New Roman" w:cs="Times New Roman"/>
          <w:sz w:val="24"/>
        </w:rPr>
        <w:t xml:space="preserve"> the large number of </w:t>
      </w:r>
      <w:r w:rsidR="001F07AD">
        <w:rPr>
          <w:rFonts w:ascii="Times New Roman" w:hAnsi="Times New Roman" w:cs="Times New Roman"/>
          <w:sz w:val="24"/>
        </w:rPr>
        <w:t>foreclosure</w:t>
      </w:r>
      <w:r w:rsidR="00D02C15">
        <w:rPr>
          <w:rFonts w:ascii="Times New Roman" w:hAnsi="Times New Roman" w:cs="Times New Roman"/>
          <w:sz w:val="24"/>
        </w:rPr>
        <w:t>s</w:t>
      </w:r>
      <w:r w:rsidR="001F07AD">
        <w:rPr>
          <w:rFonts w:ascii="Times New Roman" w:hAnsi="Times New Roman" w:cs="Times New Roman"/>
          <w:sz w:val="24"/>
        </w:rPr>
        <w:t xml:space="preserve"> occurring in the state.</w:t>
      </w:r>
      <w:r w:rsidR="001F07AD">
        <w:rPr>
          <w:rStyle w:val="FootnoteReference"/>
          <w:rFonts w:ascii="Times New Roman" w:hAnsi="Times New Roman" w:cs="Times New Roman"/>
          <w:sz w:val="24"/>
        </w:rPr>
        <w:footnoteReference w:id="73"/>
      </w:r>
      <w:r w:rsidR="009A0267">
        <w:rPr>
          <w:rFonts w:ascii="Times New Roman" w:hAnsi="Times New Roman" w:cs="Times New Roman"/>
          <w:sz w:val="24"/>
        </w:rPr>
        <w:t xml:space="preserve"> </w:t>
      </w:r>
      <w:r w:rsidR="0046690B">
        <w:rPr>
          <w:rFonts w:ascii="Times New Roman" w:hAnsi="Times New Roman" w:cs="Times New Roman"/>
          <w:sz w:val="24"/>
        </w:rPr>
        <w:t>Among these bills</w:t>
      </w:r>
      <w:r>
        <w:rPr>
          <w:rFonts w:ascii="Times New Roman" w:hAnsi="Times New Roman" w:cs="Times New Roman"/>
          <w:sz w:val="24"/>
        </w:rPr>
        <w:t xml:space="preserve"> was A5001 which amended</w:t>
      </w:r>
      <w:r w:rsidR="005B148A">
        <w:rPr>
          <w:rFonts w:ascii="Times New Roman" w:hAnsi="Times New Roman" w:cs="Times New Roman"/>
          <w:sz w:val="24"/>
        </w:rPr>
        <w:t xml:space="preserve"> </w:t>
      </w:r>
      <w:r w:rsidR="00753854">
        <w:rPr>
          <w:rFonts w:ascii="Times New Roman" w:hAnsi="Times New Roman" w:cs="Times New Roman"/>
          <w:sz w:val="24"/>
        </w:rPr>
        <w:t>N.J.S.2A:50-56.</w:t>
      </w:r>
      <w:r>
        <w:rPr>
          <w:rFonts w:ascii="Times New Roman" w:hAnsi="Times New Roman" w:cs="Times New Roman"/>
          <w:sz w:val="24"/>
        </w:rPr>
        <w:t>1</w:t>
      </w:r>
      <w:r w:rsidR="007A6C13">
        <w:rPr>
          <w:rFonts w:ascii="Times New Roman" w:hAnsi="Times New Roman" w:cs="Times New Roman"/>
          <w:sz w:val="24"/>
        </w:rPr>
        <w:t>(c)</w:t>
      </w:r>
      <w:r w:rsidR="003D7B77">
        <w:rPr>
          <w:rFonts w:ascii="Times New Roman" w:hAnsi="Times New Roman" w:cs="Times New Roman"/>
          <w:sz w:val="24"/>
        </w:rPr>
        <w:t xml:space="preserve"> by reducing</w:t>
      </w:r>
      <w:r w:rsidR="0065496A" w:rsidRPr="0065496A">
        <w:rPr>
          <w:rFonts w:ascii="Times New Roman" w:hAnsi="Times New Roman" w:cs="Times New Roman"/>
          <w:sz w:val="24"/>
        </w:rPr>
        <w:t xml:space="preserve"> the statute of limitations for residential foreclosure actions from 20 years to 6 years whe</w:t>
      </w:r>
      <w:r>
        <w:rPr>
          <w:rFonts w:ascii="Times New Roman" w:hAnsi="Times New Roman" w:cs="Times New Roman"/>
          <w:sz w:val="24"/>
        </w:rPr>
        <w:t>re</w:t>
      </w:r>
      <w:r w:rsidR="0065496A" w:rsidRPr="0065496A">
        <w:rPr>
          <w:rFonts w:ascii="Times New Roman" w:hAnsi="Times New Roman" w:cs="Times New Roman"/>
          <w:sz w:val="24"/>
        </w:rPr>
        <w:t xml:space="preserve"> the debtor defaults and has not cured</w:t>
      </w:r>
      <w:r w:rsidR="005B148A">
        <w:rPr>
          <w:rFonts w:ascii="Times New Roman" w:hAnsi="Times New Roman" w:cs="Times New Roman"/>
          <w:sz w:val="24"/>
        </w:rPr>
        <w:t>.</w:t>
      </w:r>
      <w:r w:rsidR="005B148A">
        <w:rPr>
          <w:rStyle w:val="FootnoteReference"/>
          <w:rFonts w:ascii="Times New Roman" w:hAnsi="Times New Roman" w:cs="Times New Roman"/>
          <w:sz w:val="24"/>
        </w:rPr>
        <w:footnoteReference w:id="74"/>
      </w:r>
      <w:r w:rsidR="00160CA4">
        <w:rPr>
          <w:rFonts w:ascii="Times New Roman" w:hAnsi="Times New Roman" w:cs="Times New Roman"/>
          <w:sz w:val="24"/>
        </w:rPr>
        <w:t xml:space="preserve"> </w:t>
      </w:r>
      <w:r w:rsidR="008A734D">
        <w:rPr>
          <w:rFonts w:ascii="Times New Roman" w:hAnsi="Times New Roman" w:cs="Times New Roman"/>
          <w:sz w:val="24"/>
        </w:rPr>
        <w:t>The recent change to the law did not address the issue of retroactivity.</w:t>
      </w:r>
    </w:p>
    <w:p w:rsidR="00352511" w:rsidRDefault="00352511" w:rsidP="00DC326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52511" w:rsidRDefault="00352511" w:rsidP="00DC326B">
      <w:pPr>
        <w:spacing w:after="0" w:line="259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Conclusion</w:t>
      </w:r>
    </w:p>
    <w:p w:rsidR="00352511" w:rsidRDefault="00352511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352511" w:rsidRPr="00352511" w:rsidRDefault="00352511" w:rsidP="00DC326B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90567">
        <w:rPr>
          <w:rFonts w:ascii="Times New Roman" w:hAnsi="Times New Roman" w:cs="Times New Roman"/>
          <w:sz w:val="24"/>
        </w:rPr>
        <w:t>Given the</w:t>
      </w:r>
      <w:r w:rsidR="0014279E">
        <w:rPr>
          <w:rFonts w:ascii="Times New Roman" w:hAnsi="Times New Roman" w:cs="Times New Roman"/>
          <w:sz w:val="24"/>
        </w:rPr>
        <w:t xml:space="preserve"> </w:t>
      </w:r>
      <w:r w:rsidR="00DC326B">
        <w:rPr>
          <w:rFonts w:ascii="Times New Roman" w:hAnsi="Times New Roman" w:cs="Times New Roman"/>
          <w:sz w:val="24"/>
        </w:rPr>
        <w:t>significance of the statutory provisions pertaining to foreclosures, and the split within the A</w:t>
      </w:r>
      <w:r w:rsidR="001548BF">
        <w:rPr>
          <w:rFonts w:ascii="Times New Roman" w:hAnsi="Times New Roman" w:cs="Times New Roman"/>
          <w:sz w:val="24"/>
        </w:rPr>
        <w:t>ppellate Division</w:t>
      </w:r>
      <w:r w:rsidR="00DC326B">
        <w:rPr>
          <w:rFonts w:ascii="Times New Roman" w:hAnsi="Times New Roman" w:cs="Times New Roman"/>
          <w:sz w:val="24"/>
        </w:rPr>
        <w:t xml:space="preserve"> </w:t>
      </w:r>
      <w:r w:rsidR="001548BF">
        <w:rPr>
          <w:rFonts w:ascii="Times New Roman" w:hAnsi="Times New Roman" w:cs="Times New Roman"/>
          <w:sz w:val="24"/>
        </w:rPr>
        <w:t>concerning the retroactivity of N.J.S. 2A:50-56.1</w:t>
      </w:r>
      <w:r w:rsidR="007F6648">
        <w:rPr>
          <w:rFonts w:ascii="Times New Roman" w:hAnsi="Times New Roman" w:cs="Times New Roman"/>
          <w:sz w:val="24"/>
        </w:rPr>
        <w:t xml:space="preserve">, Staff requests authorization to conduct research and outreach to determine whether the addition of statutory language </w:t>
      </w:r>
      <w:r w:rsidR="001548BF">
        <w:rPr>
          <w:rFonts w:ascii="Times New Roman" w:hAnsi="Times New Roman" w:cs="Times New Roman"/>
          <w:sz w:val="24"/>
        </w:rPr>
        <w:t>addressing applicability of this statute would assist</w:t>
      </w:r>
      <w:r w:rsidR="00B911A1">
        <w:rPr>
          <w:rFonts w:ascii="Times New Roman" w:hAnsi="Times New Roman" w:cs="Times New Roman"/>
          <w:sz w:val="24"/>
        </w:rPr>
        <w:t xml:space="preserve"> its interpretation moving forward.</w:t>
      </w:r>
    </w:p>
    <w:sectPr w:rsidR="00352511" w:rsidRPr="003525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FC" w:rsidRDefault="00155FFC" w:rsidP="003F05C9">
      <w:pPr>
        <w:spacing w:after="0" w:line="240" w:lineRule="auto"/>
      </w:pPr>
      <w:r>
        <w:separator/>
      </w:r>
    </w:p>
  </w:endnote>
  <w:endnote w:type="continuationSeparator" w:id="0">
    <w:p w:rsidR="00155FFC" w:rsidRDefault="00155FFC" w:rsidP="003F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79871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189" w:rsidRPr="007B6189" w:rsidRDefault="008166F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66FC">
          <w:rPr>
            <w:rFonts w:ascii="Times New Roman" w:hAnsi="Times New Roman" w:cs="Times New Roman"/>
            <w:sz w:val="20"/>
            <w:szCs w:val="20"/>
          </w:rPr>
          <w:t>Retroactivity of N.J.S. 2A:50-56.1</w:t>
        </w:r>
        <w:r>
          <w:rPr>
            <w:rFonts w:ascii="Times New Roman" w:hAnsi="Times New Roman" w:cs="Times New Roman"/>
            <w:sz w:val="20"/>
            <w:szCs w:val="20"/>
          </w:rPr>
          <w:t xml:space="preserve"> - </w:t>
        </w:r>
        <w:r w:rsidR="00213120" w:rsidRPr="007B6189">
          <w:rPr>
            <w:rFonts w:ascii="Times New Roman" w:hAnsi="Times New Roman" w:cs="Times New Roman"/>
            <w:sz w:val="20"/>
            <w:szCs w:val="20"/>
          </w:rPr>
          <w:t>Memorandum</w:t>
        </w:r>
        <w:r w:rsidR="00213120">
          <w:rPr>
            <w:rFonts w:ascii="Times New Roman" w:hAnsi="Times New Roman" w:cs="Times New Roman"/>
            <w:sz w:val="20"/>
            <w:szCs w:val="20"/>
          </w:rPr>
          <w:t xml:space="preserve"> – May 6, 2019 - </w:t>
        </w:r>
        <w:r w:rsidR="007B6189" w:rsidRPr="007B6189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7B6189" w:rsidRPr="007B61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B6189" w:rsidRPr="007B618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7B6189" w:rsidRPr="007B61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17F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7B6189" w:rsidRPr="007B618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noProof/>
            <w:sz w:val="20"/>
            <w:szCs w:val="20"/>
          </w:rPr>
          <w:t xml:space="preserve"> </w:t>
        </w:r>
      </w:p>
    </w:sdtContent>
  </w:sdt>
  <w:p w:rsidR="007B6189" w:rsidRDefault="007B6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FC" w:rsidRDefault="00155FFC" w:rsidP="003F05C9">
      <w:pPr>
        <w:spacing w:after="0" w:line="240" w:lineRule="auto"/>
      </w:pPr>
      <w:r>
        <w:separator/>
      </w:r>
    </w:p>
  </w:footnote>
  <w:footnote w:type="continuationSeparator" w:id="0">
    <w:p w:rsidR="00155FFC" w:rsidRDefault="00155FFC" w:rsidP="003F05C9">
      <w:pPr>
        <w:spacing w:after="0" w:line="240" w:lineRule="auto"/>
      </w:pPr>
      <w:r>
        <w:continuationSeparator/>
      </w:r>
    </w:p>
  </w:footnote>
  <w:footnote w:id="1">
    <w:p w:rsidR="00131439" w:rsidRPr="00131439" w:rsidRDefault="00131439">
      <w:pPr>
        <w:pStyle w:val="FootnoteText"/>
        <w:rPr>
          <w:rFonts w:ascii="Times New Roman" w:hAnsi="Times New Roman" w:cs="Times New Roman"/>
        </w:rPr>
      </w:pPr>
      <w:r w:rsidRPr="00131439">
        <w:rPr>
          <w:rStyle w:val="FootnoteReference"/>
          <w:rFonts w:ascii="Times New Roman" w:hAnsi="Times New Roman" w:cs="Times New Roman"/>
        </w:rPr>
        <w:footnoteRef/>
      </w:r>
      <w:r w:rsidRPr="00131439">
        <w:rPr>
          <w:rFonts w:ascii="Times New Roman" w:hAnsi="Times New Roman" w:cs="Times New Roman"/>
        </w:rPr>
        <w:t xml:space="preserve"> </w:t>
      </w:r>
      <w:bookmarkStart w:id="0" w:name="_Hlk7773336"/>
      <w:proofErr w:type="spellStart"/>
      <w:r w:rsidRPr="00131439">
        <w:rPr>
          <w:rFonts w:ascii="Times New Roman" w:hAnsi="Times New Roman" w:cs="Times New Roman"/>
          <w:i/>
        </w:rPr>
        <w:t>Anim</w:t>
      </w:r>
      <w:proofErr w:type="spellEnd"/>
      <w:r w:rsidRPr="00131439">
        <w:rPr>
          <w:rFonts w:ascii="Times New Roman" w:hAnsi="Times New Roman" w:cs="Times New Roman"/>
          <w:i/>
        </w:rPr>
        <w:t xml:space="preserve"> Investment Co. v. </w:t>
      </w:r>
      <w:proofErr w:type="spellStart"/>
      <w:r w:rsidRPr="00131439">
        <w:rPr>
          <w:rFonts w:ascii="Times New Roman" w:hAnsi="Times New Roman" w:cs="Times New Roman"/>
          <w:i/>
        </w:rPr>
        <w:t>Shalhoub</w:t>
      </w:r>
      <w:proofErr w:type="spellEnd"/>
      <w:r w:rsidRPr="00131439">
        <w:rPr>
          <w:rFonts w:ascii="Times New Roman" w:hAnsi="Times New Roman" w:cs="Times New Roman"/>
        </w:rPr>
        <w:t>, 2018 WL 1074741 (App. Div. February 28, 2018)</w:t>
      </w:r>
      <w:bookmarkEnd w:id="0"/>
      <w:r w:rsidRPr="00131439">
        <w:rPr>
          <w:rFonts w:ascii="Times New Roman" w:hAnsi="Times New Roman" w:cs="Times New Roman"/>
        </w:rPr>
        <w:t xml:space="preserve">; </w:t>
      </w:r>
      <w:r w:rsidRPr="00131439">
        <w:rPr>
          <w:rFonts w:ascii="Times New Roman" w:hAnsi="Times New Roman" w:cs="Times New Roman"/>
          <w:i/>
        </w:rPr>
        <w:t>Pfeifer v. McLaughlin</w:t>
      </w:r>
      <w:r w:rsidRPr="00131439">
        <w:rPr>
          <w:rFonts w:ascii="Times New Roman" w:hAnsi="Times New Roman" w:cs="Times New Roman"/>
        </w:rPr>
        <w:t>, 2018 WL 4167334 (App. Div. August 31, 2018).</w:t>
      </w:r>
    </w:p>
  </w:footnote>
  <w:footnote w:id="2">
    <w:p w:rsidR="00724E8E" w:rsidRPr="00724E8E" w:rsidRDefault="00724E8E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31439">
        <w:rPr>
          <w:rFonts w:ascii="Times New Roman" w:hAnsi="Times New Roman" w:cs="Times New Roman"/>
          <w:i/>
        </w:rPr>
        <w:t>Anim</w:t>
      </w:r>
      <w:proofErr w:type="spellEnd"/>
      <w:r w:rsidRPr="00131439">
        <w:rPr>
          <w:rFonts w:ascii="Times New Roman" w:hAnsi="Times New Roman" w:cs="Times New Roman"/>
          <w:i/>
        </w:rPr>
        <w:t xml:space="preserve"> Investment Co. v. </w:t>
      </w:r>
      <w:proofErr w:type="spellStart"/>
      <w:r w:rsidRPr="00131439">
        <w:rPr>
          <w:rFonts w:ascii="Times New Roman" w:hAnsi="Times New Roman" w:cs="Times New Roman"/>
          <w:i/>
        </w:rPr>
        <w:t>Shalhoub</w:t>
      </w:r>
      <w:proofErr w:type="spellEnd"/>
      <w:r w:rsidRPr="00131439">
        <w:rPr>
          <w:rFonts w:ascii="Times New Roman" w:hAnsi="Times New Roman" w:cs="Times New Roman"/>
        </w:rPr>
        <w:t>, 2018 WL 1074741</w:t>
      </w:r>
      <w:r w:rsidR="00095F57">
        <w:rPr>
          <w:rFonts w:ascii="Times New Roman" w:hAnsi="Times New Roman" w:cs="Times New Roman"/>
        </w:rPr>
        <w:t xml:space="preserve"> at *5</w:t>
      </w:r>
      <w:r w:rsidRPr="00131439">
        <w:rPr>
          <w:rFonts w:ascii="Times New Roman" w:hAnsi="Times New Roman" w:cs="Times New Roman"/>
        </w:rPr>
        <w:t xml:space="preserve"> (App. Div. 2018)</w:t>
      </w:r>
      <w:r>
        <w:rPr>
          <w:rFonts w:ascii="Times New Roman" w:hAnsi="Times New Roman" w:cs="Times New Roman"/>
        </w:rPr>
        <w:t>.</w:t>
      </w:r>
    </w:p>
  </w:footnote>
  <w:footnote w:id="3">
    <w:p w:rsidR="00D2541D" w:rsidRPr="00745026" w:rsidRDefault="00D2541D">
      <w:pPr>
        <w:pStyle w:val="FootnoteText"/>
        <w:rPr>
          <w:rFonts w:ascii="Times New Roman" w:hAnsi="Times New Roman" w:cs="Times New Roman"/>
        </w:rPr>
      </w:pPr>
      <w:r w:rsidRPr="00745026">
        <w:rPr>
          <w:rStyle w:val="FootnoteReference"/>
          <w:rFonts w:ascii="Times New Roman" w:hAnsi="Times New Roman" w:cs="Times New Roman"/>
        </w:rPr>
        <w:footnoteRef/>
      </w:r>
      <w:r w:rsidRPr="00745026">
        <w:rPr>
          <w:rFonts w:ascii="Times New Roman" w:hAnsi="Times New Roman" w:cs="Times New Roman"/>
        </w:rPr>
        <w:t xml:space="preserve"> </w:t>
      </w:r>
      <w:r w:rsidR="00745026" w:rsidRPr="00745026">
        <w:rPr>
          <w:rFonts w:ascii="Times New Roman" w:hAnsi="Times New Roman" w:cs="Times New Roman"/>
          <w:i/>
        </w:rPr>
        <w:t>Pfeifer v. McLaughlin</w:t>
      </w:r>
      <w:r w:rsidR="00745026" w:rsidRPr="00745026">
        <w:rPr>
          <w:rFonts w:ascii="Times New Roman" w:hAnsi="Times New Roman" w:cs="Times New Roman"/>
        </w:rPr>
        <w:t>, 2018 WL 4167334 at *5 (App. Div. 2018).</w:t>
      </w:r>
    </w:p>
  </w:footnote>
  <w:footnote w:id="4">
    <w:p w:rsidR="004B053C" w:rsidRPr="004B053C" w:rsidRDefault="004B053C">
      <w:pPr>
        <w:pStyle w:val="FootnoteText"/>
        <w:rPr>
          <w:rFonts w:ascii="Times New Roman" w:hAnsi="Times New Roman" w:cs="Times New Roman"/>
        </w:rPr>
      </w:pPr>
      <w:r w:rsidRPr="004B053C">
        <w:rPr>
          <w:rStyle w:val="FootnoteReference"/>
          <w:rFonts w:ascii="Times New Roman" w:hAnsi="Times New Roman" w:cs="Times New Roman"/>
        </w:rPr>
        <w:footnoteRef/>
      </w:r>
      <w:r w:rsidRPr="004B053C">
        <w:rPr>
          <w:rFonts w:ascii="Times New Roman" w:hAnsi="Times New Roman" w:cs="Times New Roman"/>
        </w:rPr>
        <w:t xml:space="preserve"> </w:t>
      </w:r>
      <w:proofErr w:type="spellStart"/>
      <w:r w:rsidRPr="004B053C">
        <w:rPr>
          <w:rFonts w:ascii="Times New Roman" w:hAnsi="Times New Roman" w:cs="Times New Roman"/>
          <w:i/>
        </w:rPr>
        <w:t>Anim</w:t>
      </w:r>
      <w:proofErr w:type="spellEnd"/>
      <w:r w:rsidRPr="004B053C">
        <w:rPr>
          <w:rFonts w:ascii="Times New Roman" w:hAnsi="Times New Roman" w:cs="Times New Roman"/>
          <w:i/>
        </w:rPr>
        <w:t xml:space="preserve"> Investment Co. v. </w:t>
      </w:r>
      <w:proofErr w:type="spellStart"/>
      <w:r w:rsidRPr="004B053C">
        <w:rPr>
          <w:rFonts w:ascii="Times New Roman" w:hAnsi="Times New Roman" w:cs="Times New Roman"/>
          <w:i/>
        </w:rPr>
        <w:t>Shalhoub</w:t>
      </w:r>
      <w:proofErr w:type="spellEnd"/>
      <w:r w:rsidRPr="004B053C">
        <w:rPr>
          <w:rFonts w:ascii="Times New Roman" w:hAnsi="Times New Roman" w:cs="Times New Roman"/>
        </w:rPr>
        <w:t>, 2018 WL 1074741</w:t>
      </w:r>
      <w:r>
        <w:rPr>
          <w:rFonts w:ascii="Times New Roman" w:hAnsi="Times New Roman" w:cs="Times New Roman"/>
        </w:rPr>
        <w:t xml:space="preserve"> at *1</w:t>
      </w:r>
      <w:r w:rsidRPr="004B053C">
        <w:rPr>
          <w:rFonts w:ascii="Times New Roman" w:hAnsi="Times New Roman" w:cs="Times New Roman"/>
        </w:rPr>
        <w:t xml:space="preserve"> (App. Div. 2018)</w:t>
      </w:r>
      <w:r>
        <w:rPr>
          <w:rFonts w:ascii="Times New Roman" w:hAnsi="Times New Roman" w:cs="Times New Roman"/>
        </w:rPr>
        <w:t>.</w:t>
      </w:r>
    </w:p>
  </w:footnote>
  <w:footnote w:id="5">
    <w:p w:rsidR="00BA42DB" w:rsidRPr="00BA42DB" w:rsidRDefault="00BA42DB">
      <w:pPr>
        <w:pStyle w:val="FootnoteText"/>
        <w:rPr>
          <w:rFonts w:ascii="Times New Roman" w:hAnsi="Times New Roman" w:cs="Times New Roman"/>
        </w:rPr>
      </w:pPr>
      <w:r w:rsidRPr="00BA42DB">
        <w:rPr>
          <w:rStyle w:val="FootnoteReference"/>
          <w:rFonts w:ascii="Times New Roman" w:hAnsi="Times New Roman" w:cs="Times New Roman"/>
        </w:rPr>
        <w:footnoteRef/>
      </w:r>
      <w:r w:rsidRPr="00BA42DB">
        <w:rPr>
          <w:rFonts w:ascii="Times New Roman" w:hAnsi="Times New Roman" w:cs="Times New Roman"/>
        </w:rPr>
        <w:t xml:space="preserve"> </w:t>
      </w:r>
      <w:r w:rsidRPr="00BA42DB">
        <w:rPr>
          <w:rFonts w:ascii="Times New Roman" w:hAnsi="Times New Roman" w:cs="Times New Roman"/>
          <w:i/>
        </w:rPr>
        <w:t>Id</w:t>
      </w:r>
      <w:r w:rsidRPr="00BA42DB">
        <w:rPr>
          <w:rFonts w:ascii="Times New Roman" w:hAnsi="Times New Roman" w:cs="Times New Roman"/>
        </w:rPr>
        <w:t>.</w:t>
      </w:r>
    </w:p>
  </w:footnote>
  <w:footnote w:id="6">
    <w:p w:rsidR="00583684" w:rsidRPr="00583684" w:rsidRDefault="00583684">
      <w:pPr>
        <w:pStyle w:val="FootnoteText"/>
        <w:rPr>
          <w:rFonts w:ascii="Times New Roman" w:hAnsi="Times New Roman" w:cs="Times New Roman"/>
        </w:rPr>
      </w:pPr>
      <w:r w:rsidRPr="00583684">
        <w:rPr>
          <w:rStyle w:val="FootnoteReference"/>
          <w:rFonts w:ascii="Times New Roman" w:hAnsi="Times New Roman" w:cs="Times New Roman"/>
        </w:rPr>
        <w:footnoteRef/>
      </w:r>
      <w:r w:rsidRPr="00583684">
        <w:rPr>
          <w:rFonts w:ascii="Times New Roman" w:hAnsi="Times New Roman" w:cs="Times New Roman"/>
        </w:rPr>
        <w:t xml:space="preserve"> </w:t>
      </w:r>
      <w:r w:rsidRPr="00583684">
        <w:rPr>
          <w:rFonts w:ascii="Times New Roman" w:hAnsi="Times New Roman" w:cs="Times New Roman"/>
          <w:i/>
        </w:rPr>
        <w:t>Id</w:t>
      </w:r>
      <w:r w:rsidRPr="00583684">
        <w:rPr>
          <w:rFonts w:ascii="Times New Roman" w:hAnsi="Times New Roman" w:cs="Times New Roman"/>
        </w:rPr>
        <w:t>.</w:t>
      </w:r>
    </w:p>
  </w:footnote>
  <w:footnote w:id="7">
    <w:p w:rsidR="009C7E64" w:rsidRPr="009C7E64" w:rsidRDefault="009C7E64">
      <w:pPr>
        <w:pStyle w:val="FootnoteText"/>
        <w:rPr>
          <w:rFonts w:ascii="Times New Roman" w:hAnsi="Times New Roman" w:cs="Times New Roman"/>
        </w:rPr>
      </w:pPr>
      <w:r w:rsidRPr="009C7E64">
        <w:rPr>
          <w:rStyle w:val="FootnoteReference"/>
          <w:rFonts w:ascii="Times New Roman" w:hAnsi="Times New Roman" w:cs="Times New Roman"/>
        </w:rPr>
        <w:footnoteRef/>
      </w:r>
      <w:r w:rsidRPr="009C7E64">
        <w:rPr>
          <w:rFonts w:ascii="Times New Roman" w:hAnsi="Times New Roman" w:cs="Times New Roman"/>
        </w:rPr>
        <w:t xml:space="preserve"> </w:t>
      </w:r>
      <w:r w:rsidRPr="009C7E64">
        <w:rPr>
          <w:rFonts w:ascii="Times New Roman" w:hAnsi="Times New Roman" w:cs="Times New Roman"/>
          <w:i/>
        </w:rPr>
        <w:t>Id</w:t>
      </w:r>
      <w:r w:rsidRPr="009C7E64">
        <w:rPr>
          <w:rFonts w:ascii="Times New Roman" w:hAnsi="Times New Roman" w:cs="Times New Roman"/>
        </w:rPr>
        <w:t>.</w:t>
      </w:r>
    </w:p>
  </w:footnote>
  <w:footnote w:id="8">
    <w:p w:rsidR="00F635D2" w:rsidRPr="00E67A54" w:rsidRDefault="00F635D2">
      <w:pPr>
        <w:pStyle w:val="FootnoteText"/>
        <w:rPr>
          <w:rFonts w:ascii="Times New Roman" w:hAnsi="Times New Roman" w:cs="Times New Roman"/>
        </w:rPr>
      </w:pPr>
      <w:r w:rsidRPr="00F635D2">
        <w:rPr>
          <w:rStyle w:val="FootnoteReference"/>
          <w:rFonts w:ascii="Times New Roman" w:hAnsi="Times New Roman" w:cs="Times New Roman"/>
        </w:rPr>
        <w:footnoteRef/>
      </w:r>
      <w:r w:rsidRPr="00F635D2">
        <w:rPr>
          <w:rFonts w:ascii="Times New Roman" w:hAnsi="Times New Roman" w:cs="Times New Roman"/>
        </w:rPr>
        <w:t xml:space="preserve"> </w:t>
      </w:r>
      <w:r w:rsidR="00E67A54">
        <w:rPr>
          <w:rFonts w:ascii="Times New Roman" w:hAnsi="Times New Roman" w:cs="Times New Roman"/>
          <w:i/>
        </w:rPr>
        <w:t>Id</w:t>
      </w:r>
      <w:r w:rsidR="00E67A54">
        <w:rPr>
          <w:rFonts w:ascii="Times New Roman" w:hAnsi="Times New Roman" w:cs="Times New Roman"/>
        </w:rPr>
        <w:t>.</w:t>
      </w:r>
    </w:p>
  </w:footnote>
  <w:footnote w:id="9">
    <w:p w:rsidR="00F635D2" w:rsidRPr="00F635D2" w:rsidRDefault="00F635D2">
      <w:pPr>
        <w:pStyle w:val="FootnoteText"/>
        <w:rPr>
          <w:rFonts w:ascii="Times New Roman" w:hAnsi="Times New Roman" w:cs="Times New Roman"/>
        </w:rPr>
      </w:pPr>
      <w:r w:rsidRPr="00F635D2">
        <w:rPr>
          <w:rStyle w:val="FootnoteReference"/>
          <w:rFonts w:ascii="Times New Roman" w:hAnsi="Times New Roman" w:cs="Times New Roman"/>
        </w:rPr>
        <w:footnoteRef/>
      </w:r>
      <w:r w:rsidRPr="00F635D2">
        <w:rPr>
          <w:rFonts w:ascii="Times New Roman" w:hAnsi="Times New Roman" w:cs="Times New Roman"/>
        </w:rPr>
        <w:t xml:space="preserve"> </w:t>
      </w:r>
      <w:proofErr w:type="spellStart"/>
      <w:r w:rsidR="00E67A54" w:rsidRPr="00F635D2">
        <w:rPr>
          <w:rFonts w:ascii="Times New Roman" w:hAnsi="Times New Roman" w:cs="Times New Roman"/>
          <w:i/>
        </w:rPr>
        <w:t>Anim</w:t>
      </w:r>
      <w:proofErr w:type="spellEnd"/>
      <w:r w:rsidR="00E67A54" w:rsidRPr="00F635D2">
        <w:rPr>
          <w:rFonts w:ascii="Times New Roman" w:hAnsi="Times New Roman" w:cs="Times New Roman"/>
          <w:i/>
        </w:rPr>
        <w:t xml:space="preserve"> Investment Co. v. </w:t>
      </w:r>
      <w:proofErr w:type="spellStart"/>
      <w:r w:rsidR="00E67A54" w:rsidRPr="00F635D2">
        <w:rPr>
          <w:rFonts w:ascii="Times New Roman" w:hAnsi="Times New Roman" w:cs="Times New Roman"/>
          <w:i/>
        </w:rPr>
        <w:t>Shalhoub</w:t>
      </w:r>
      <w:proofErr w:type="spellEnd"/>
      <w:r w:rsidR="00E67A54" w:rsidRPr="00F635D2">
        <w:rPr>
          <w:rFonts w:ascii="Times New Roman" w:hAnsi="Times New Roman" w:cs="Times New Roman"/>
        </w:rPr>
        <w:t>, 2018 WL 1074741 at *1 (App. Div. 2018).</w:t>
      </w:r>
    </w:p>
  </w:footnote>
  <w:footnote w:id="10">
    <w:p w:rsidR="00B26A94" w:rsidRPr="00B26A94" w:rsidRDefault="00B26A94">
      <w:pPr>
        <w:pStyle w:val="FootnoteText"/>
        <w:rPr>
          <w:rFonts w:ascii="Times New Roman" w:hAnsi="Times New Roman" w:cs="Times New Roman"/>
        </w:rPr>
      </w:pPr>
      <w:r w:rsidRPr="00B26A94">
        <w:rPr>
          <w:rStyle w:val="FootnoteReference"/>
          <w:rFonts w:ascii="Times New Roman" w:hAnsi="Times New Roman" w:cs="Times New Roman"/>
        </w:rPr>
        <w:footnoteRef/>
      </w:r>
      <w:r w:rsidRPr="00B26A94">
        <w:rPr>
          <w:rFonts w:ascii="Times New Roman" w:hAnsi="Times New Roman" w:cs="Times New Roman"/>
        </w:rPr>
        <w:t xml:space="preserve"> </w:t>
      </w:r>
      <w:r w:rsidRPr="00B26A94">
        <w:rPr>
          <w:rFonts w:ascii="Times New Roman" w:hAnsi="Times New Roman" w:cs="Times New Roman"/>
          <w:i/>
        </w:rPr>
        <w:t>Id</w:t>
      </w:r>
      <w:r w:rsidRPr="00B26A94">
        <w:rPr>
          <w:rFonts w:ascii="Times New Roman" w:hAnsi="Times New Roman" w:cs="Times New Roman"/>
        </w:rPr>
        <w:t>.</w:t>
      </w:r>
    </w:p>
  </w:footnote>
  <w:footnote w:id="11">
    <w:p w:rsidR="004A70F5" w:rsidRPr="00840490" w:rsidRDefault="004A70F5">
      <w:pPr>
        <w:pStyle w:val="FootnoteText"/>
        <w:rPr>
          <w:rFonts w:ascii="Times New Roman" w:hAnsi="Times New Roman" w:cs="Times New Roman"/>
        </w:rPr>
      </w:pPr>
      <w:r w:rsidRPr="004A70F5">
        <w:rPr>
          <w:rStyle w:val="FootnoteReference"/>
          <w:rFonts w:ascii="Times New Roman" w:hAnsi="Times New Roman" w:cs="Times New Roman"/>
        </w:rPr>
        <w:footnoteRef/>
      </w:r>
      <w:r w:rsidRPr="004A70F5">
        <w:rPr>
          <w:rFonts w:ascii="Times New Roman" w:hAnsi="Times New Roman" w:cs="Times New Roman"/>
        </w:rPr>
        <w:t xml:space="preserve"> </w:t>
      </w:r>
      <w:proofErr w:type="gramStart"/>
      <w:r w:rsidRPr="004A70F5">
        <w:rPr>
          <w:rFonts w:ascii="Times New Roman" w:hAnsi="Times New Roman" w:cs="Times New Roman"/>
          <w:i/>
        </w:rPr>
        <w:t>Id</w:t>
      </w:r>
      <w:r w:rsidRPr="004A70F5">
        <w:rPr>
          <w:rFonts w:ascii="Times New Roman" w:hAnsi="Times New Roman" w:cs="Times New Roman"/>
        </w:rPr>
        <w:t>.</w:t>
      </w:r>
      <w:r w:rsidR="00840490">
        <w:rPr>
          <w:rFonts w:ascii="Times New Roman" w:hAnsi="Times New Roman" w:cs="Times New Roman"/>
        </w:rPr>
        <w:t xml:space="preserve"> (Citing </w:t>
      </w:r>
      <w:r w:rsidR="00840490">
        <w:rPr>
          <w:rFonts w:ascii="Times New Roman" w:hAnsi="Times New Roman" w:cs="Times New Roman"/>
          <w:i/>
        </w:rPr>
        <w:t>Gibbons v. Gibbons</w:t>
      </w:r>
      <w:r w:rsidR="00840490">
        <w:rPr>
          <w:rFonts w:ascii="Times New Roman" w:hAnsi="Times New Roman" w:cs="Times New Roman"/>
        </w:rPr>
        <w:t xml:space="preserve">, 86 N.J. 515 (1981); </w:t>
      </w:r>
      <w:r w:rsidR="00840490">
        <w:rPr>
          <w:rFonts w:ascii="Times New Roman" w:hAnsi="Times New Roman" w:cs="Times New Roman"/>
          <w:i/>
        </w:rPr>
        <w:t xml:space="preserve">Phillips v. </w:t>
      </w:r>
      <w:proofErr w:type="spellStart"/>
      <w:r w:rsidR="00840490">
        <w:rPr>
          <w:rFonts w:ascii="Times New Roman" w:hAnsi="Times New Roman" w:cs="Times New Roman"/>
          <w:i/>
        </w:rPr>
        <w:t>Curiale</w:t>
      </w:r>
      <w:proofErr w:type="spellEnd"/>
      <w:r w:rsidR="00840490">
        <w:rPr>
          <w:rFonts w:ascii="Times New Roman" w:hAnsi="Times New Roman" w:cs="Times New Roman"/>
        </w:rPr>
        <w:t xml:space="preserve">, 128 N.J. 608 (1992); and </w:t>
      </w:r>
      <w:r w:rsidR="00840490">
        <w:rPr>
          <w:rFonts w:ascii="Times New Roman" w:hAnsi="Times New Roman" w:cs="Times New Roman"/>
          <w:i/>
        </w:rPr>
        <w:t>In re D.C.</w:t>
      </w:r>
      <w:r w:rsidR="00840490">
        <w:rPr>
          <w:rFonts w:ascii="Times New Roman" w:hAnsi="Times New Roman" w:cs="Times New Roman"/>
        </w:rPr>
        <w:t>, 146 N.J. 31 (1996)).</w:t>
      </w:r>
      <w:proofErr w:type="gramEnd"/>
    </w:p>
  </w:footnote>
  <w:footnote w:id="12">
    <w:p w:rsidR="0090174C" w:rsidRPr="0090174C" w:rsidRDefault="0090174C">
      <w:pPr>
        <w:pStyle w:val="FootnoteText"/>
        <w:rPr>
          <w:rFonts w:ascii="Times New Roman" w:hAnsi="Times New Roman" w:cs="Times New Roman"/>
        </w:rPr>
      </w:pPr>
      <w:r w:rsidRPr="0090174C">
        <w:rPr>
          <w:rStyle w:val="FootnoteReference"/>
          <w:rFonts w:ascii="Times New Roman" w:hAnsi="Times New Roman" w:cs="Times New Roman"/>
        </w:rPr>
        <w:footnoteRef/>
      </w:r>
      <w:r w:rsidRPr="0090174C">
        <w:rPr>
          <w:rFonts w:ascii="Times New Roman" w:hAnsi="Times New Roman" w:cs="Times New Roman"/>
        </w:rPr>
        <w:t xml:space="preserve"> </w:t>
      </w:r>
      <w:r w:rsidRPr="0090174C">
        <w:rPr>
          <w:rFonts w:ascii="Times New Roman" w:hAnsi="Times New Roman" w:cs="Times New Roman"/>
          <w:i/>
        </w:rPr>
        <w:t>Id</w:t>
      </w:r>
      <w:r w:rsidRPr="0090174C">
        <w:rPr>
          <w:rFonts w:ascii="Times New Roman" w:hAnsi="Times New Roman" w:cs="Times New Roman"/>
        </w:rPr>
        <w:t xml:space="preserve"> at *2 (</w:t>
      </w:r>
      <w:r w:rsidRPr="0090174C">
        <w:rPr>
          <w:rFonts w:ascii="Times New Roman" w:hAnsi="Times New Roman" w:cs="Times New Roman"/>
          <w:i/>
        </w:rPr>
        <w:t>Quoting Phillips</w:t>
      </w:r>
      <w:r w:rsidRPr="0090174C">
        <w:rPr>
          <w:rFonts w:ascii="Times New Roman" w:hAnsi="Times New Roman" w:cs="Times New Roman"/>
        </w:rPr>
        <w:t xml:space="preserve">, 128 N.J. </w:t>
      </w:r>
      <w:r w:rsidR="00063A5E">
        <w:rPr>
          <w:rFonts w:ascii="Times New Roman" w:hAnsi="Times New Roman" w:cs="Times New Roman"/>
        </w:rPr>
        <w:t xml:space="preserve">at </w:t>
      </w:r>
      <w:r w:rsidRPr="0090174C">
        <w:rPr>
          <w:rFonts w:ascii="Times New Roman" w:hAnsi="Times New Roman" w:cs="Times New Roman"/>
        </w:rPr>
        <w:t>617 (1992).</w:t>
      </w:r>
    </w:p>
  </w:footnote>
  <w:footnote w:id="13">
    <w:p w:rsidR="00063A5E" w:rsidRPr="00063A5E" w:rsidRDefault="00063A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67A54" w:rsidRPr="00E67A54">
        <w:rPr>
          <w:rFonts w:ascii="Times New Roman" w:hAnsi="Times New Roman" w:cs="Times New Roman"/>
          <w:i/>
        </w:rPr>
        <w:t>Id</w:t>
      </w:r>
      <w:r w:rsidR="00E67A54" w:rsidRPr="00E67A54">
        <w:rPr>
          <w:rFonts w:ascii="Times New Roman" w:hAnsi="Times New Roman" w:cs="Times New Roman"/>
        </w:rPr>
        <w:t xml:space="preserve">. </w:t>
      </w:r>
      <w:r w:rsidRPr="00E67A54">
        <w:rPr>
          <w:rFonts w:ascii="Times New Roman" w:hAnsi="Times New Roman" w:cs="Times New Roman"/>
        </w:rPr>
        <w:t>(</w:t>
      </w:r>
      <w:r w:rsidRPr="00E67A54">
        <w:rPr>
          <w:rFonts w:ascii="Times New Roman" w:hAnsi="Times New Roman" w:cs="Times New Roman"/>
          <w:i/>
        </w:rPr>
        <w:t>Quoting In re D.C.</w:t>
      </w:r>
      <w:r w:rsidRPr="00E67A54">
        <w:rPr>
          <w:rFonts w:ascii="Times New Roman" w:hAnsi="Times New Roman" w:cs="Times New Roman"/>
        </w:rPr>
        <w:t>, 146 N.J. at 51 (1996)).</w:t>
      </w:r>
    </w:p>
  </w:footnote>
  <w:footnote w:id="14">
    <w:p w:rsidR="00EB5F5B" w:rsidRPr="00EB5F5B" w:rsidRDefault="00EB5F5B">
      <w:pPr>
        <w:pStyle w:val="FootnoteText"/>
        <w:rPr>
          <w:rFonts w:ascii="Times New Roman" w:hAnsi="Times New Roman" w:cs="Times New Roman"/>
        </w:rPr>
      </w:pPr>
      <w:r w:rsidRPr="00EB5F5B">
        <w:rPr>
          <w:rStyle w:val="FootnoteReference"/>
          <w:rFonts w:ascii="Times New Roman" w:hAnsi="Times New Roman" w:cs="Times New Roman"/>
        </w:rPr>
        <w:footnoteRef/>
      </w:r>
      <w:r w:rsidRPr="00EB5F5B">
        <w:rPr>
          <w:rFonts w:ascii="Times New Roman" w:hAnsi="Times New Roman" w:cs="Times New Roman"/>
        </w:rPr>
        <w:t xml:space="preserve"> </w:t>
      </w:r>
      <w:proofErr w:type="spellStart"/>
      <w:r w:rsidR="00E67A54" w:rsidRPr="00063A5E">
        <w:rPr>
          <w:rFonts w:ascii="Times New Roman" w:hAnsi="Times New Roman" w:cs="Times New Roman"/>
          <w:i/>
        </w:rPr>
        <w:t>Anim</w:t>
      </w:r>
      <w:proofErr w:type="spellEnd"/>
      <w:r w:rsidR="00E67A54" w:rsidRPr="00063A5E">
        <w:rPr>
          <w:rFonts w:ascii="Times New Roman" w:hAnsi="Times New Roman" w:cs="Times New Roman"/>
          <w:i/>
        </w:rPr>
        <w:t xml:space="preserve"> Investment Co. v. </w:t>
      </w:r>
      <w:proofErr w:type="spellStart"/>
      <w:r w:rsidR="00E67A54" w:rsidRPr="00063A5E">
        <w:rPr>
          <w:rFonts w:ascii="Times New Roman" w:hAnsi="Times New Roman" w:cs="Times New Roman"/>
          <w:i/>
        </w:rPr>
        <w:t>Shalhoub</w:t>
      </w:r>
      <w:proofErr w:type="spellEnd"/>
      <w:r w:rsidR="00E67A54" w:rsidRPr="00063A5E">
        <w:rPr>
          <w:rFonts w:ascii="Times New Roman" w:hAnsi="Times New Roman" w:cs="Times New Roman"/>
        </w:rPr>
        <w:t>, 2018 WL 1074741</w:t>
      </w:r>
      <w:r w:rsidR="00E67A54">
        <w:rPr>
          <w:rFonts w:ascii="Times New Roman" w:hAnsi="Times New Roman" w:cs="Times New Roman"/>
        </w:rPr>
        <w:t xml:space="preserve"> at *2</w:t>
      </w:r>
      <w:r w:rsidR="00E67A54" w:rsidRPr="00063A5E">
        <w:rPr>
          <w:rFonts w:ascii="Times New Roman" w:hAnsi="Times New Roman" w:cs="Times New Roman"/>
        </w:rPr>
        <w:t xml:space="preserve"> (App. Div. 2018)</w:t>
      </w:r>
    </w:p>
  </w:footnote>
  <w:footnote w:id="15">
    <w:p w:rsidR="00215F7B" w:rsidRPr="00215F7B" w:rsidRDefault="00215F7B">
      <w:pPr>
        <w:pStyle w:val="FootnoteText"/>
        <w:rPr>
          <w:rFonts w:ascii="Times New Roman" w:hAnsi="Times New Roman" w:cs="Times New Roman"/>
        </w:rPr>
      </w:pPr>
      <w:r w:rsidRPr="00215F7B">
        <w:rPr>
          <w:rStyle w:val="FootnoteReference"/>
          <w:rFonts w:ascii="Times New Roman" w:hAnsi="Times New Roman" w:cs="Times New Roman"/>
        </w:rPr>
        <w:footnoteRef/>
      </w:r>
      <w:r w:rsidRPr="00215F7B">
        <w:rPr>
          <w:rFonts w:ascii="Times New Roman" w:hAnsi="Times New Roman" w:cs="Times New Roman"/>
        </w:rPr>
        <w:t xml:space="preserve"> </w:t>
      </w:r>
      <w:r w:rsidRPr="00215F7B">
        <w:rPr>
          <w:rFonts w:ascii="Times New Roman" w:hAnsi="Times New Roman" w:cs="Times New Roman"/>
          <w:i/>
        </w:rPr>
        <w:t>Id</w:t>
      </w:r>
      <w:r w:rsidRPr="00215F7B">
        <w:rPr>
          <w:rFonts w:ascii="Times New Roman" w:hAnsi="Times New Roman" w:cs="Times New Roman"/>
        </w:rPr>
        <w:t>.</w:t>
      </w:r>
    </w:p>
  </w:footnote>
  <w:footnote w:id="16">
    <w:p w:rsidR="00656B0D" w:rsidRPr="00656B0D" w:rsidRDefault="00656B0D">
      <w:pPr>
        <w:pStyle w:val="FootnoteText"/>
        <w:rPr>
          <w:rFonts w:ascii="Times New Roman" w:hAnsi="Times New Roman" w:cs="Times New Roman"/>
        </w:rPr>
      </w:pPr>
      <w:r w:rsidRPr="00656B0D">
        <w:rPr>
          <w:rStyle w:val="FootnoteReference"/>
          <w:rFonts w:ascii="Times New Roman" w:hAnsi="Times New Roman" w:cs="Times New Roman"/>
        </w:rPr>
        <w:footnoteRef/>
      </w:r>
      <w:r w:rsidRPr="00656B0D">
        <w:rPr>
          <w:rFonts w:ascii="Times New Roman" w:hAnsi="Times New Roman" w:cs="Times New Roman"/>
        </w:rPr>
        <w:t xml:space="preserve"> </w:t>
      </w:r>
      <w:r w:rsidRPr="00656B0D">
        <w:rPr>
          <w:rFonts w:ascii="Times New Roman" w:hAnsi="Times New Roman" w:cs="Times New Roman"/>
          <w:i/>
        </w:rPr>
        <w:t>Id</w:t>
      </w:r>
      <w:r w:rsidRPr="00656B0D">
        <w:rPr>
          <w:rFonts w:ascii="Times New Roman" w:hAnsi="Times New Roman" w:cs="Times New Roman"/>
        </w:rPr>
        <w:t>.</w:t>
      </w:r>
    </w:p>
  </w:footnote>
  <w:footnote w:id="17">
    <w:p w:rsidR="003F7188" w:rsidRPr="003F7188" w:rsidRDefault="003F7188">
      <w:pPr>
        <w:pStyle w:val="FootnoteText"/>
        <w:rPr>
          <w:rFonts w:ascii="Times New Roman" w:hAnsi="Times New Roman" w:cs="Times New Roman"/>
        </w:rPr>
      </w:pPr>
      <w:r w:rsidRPr="003F7188">
        <w:rPr>
          <w:rStyle w:val="FootnoteReference"/>
          <w:rFonts w:ascii="Times New Roman" w:hAnsi="Times New Roman" w:cs="Times New Roman"/>
        </w:rPr>
        <w:footnoteRef/>
      </w:r>
      <w:r w:rsidRPr="003F7188">
        <w:rPr>
          <w:rFonts w:ascii="Times New Roman" w:hAnsi="Times New Roman" w:cs="Times New Roman"/>
        </w:rPr>
        <w:t xml:space="preserve"> </w:t>
      </w:r>
      <w:r w:rsidRPr="003F7188">
        <w:rPr>
          <w:rFonts w:ascii="Times New Roman" w:hAnsi="Times New Roman" w:cs="Times New Roman"/>
          <w:i/>
        </w:rPr>
        <w:t>Id</w:t>
      </w:r>
      <w:r w:rsidRPr="003F7188">
        <w:rPr>
          <w:rFonts w:ascii="Times New Roman" w:hAnsi="Times New Roman" w:cs="Times New Roman"/>
        </w:rPr>
        <w:t>.</w:t>
      </w:r>
    </w:p>
  </w:footnote>
  <w:footnote w:id="18">
    <w:p w:rsidR="001306D7" w:rsidRPr="001F20E5" w:rsidRDefault="001306D7">
      <w:pPr>
        <w:pStyle w:val="FootnoteText"/>
        <w:rPr>
          <w:rFonts w:ascii="Times New Roman" w:hAnsi="Times New Roman" w:cs="Times New Roman"/>
        </w:rPr>
      </w:pPr>
      <w:r w:rsidRPr="001F20E5">
        <w:rPr>
          <w:rStyle w:val="FootnoteReference"/>
          <w:rFonts w:ascii="Times New Roman" w:hAnsi="Times New Roman" w:cs="Times New Roman"/>
        </w:rPr>
        <w:footnoteRef/>
      </w:r>
      <w:r w:rsidRPr="001F20E5">
        <w:rPr>
          <w:rFonts w:ascii="Times New Roman" w:hAnsi="Times New Roman" w:cs="Times New Roman"/>
        </w:rPr>
        <w:t xml:space="preserve"> </w:t>
      </w:r>
      <w:r w:rsidR="001F20E5" w:rsidRPr="001F20E5">
        <w:rPr>
          <w:rFonts w:ascii="Times New Roman" w:hAnsi="Times New Roman" w:cs="Times New Roman"/>
          <w:i/>
        </w:rPr>
        <w:t>Id</w:t>
      </w:r>
      <w:r w:rsidR="001F20E5" w:rsidRPr="001F20E5">
        <w:rPr>
          <w:rFonts w:ascii="Times New Roman" w:hAnsi="Times New Roman" w:cs="Times New Roman"/>
        </w:rPr>
        <w:t>.</w:t>
      </w:r>
    </w:p>
  </w:footnote>
  <w:footnote w:id="19">
    <w:p w:rsidR="00B74A8C" w:rsidRPr="00B74A8C" w:rsidRDefault="00B74A8C">
      <w:pPr>
        <w:pStyle w:val="FootnoteText"/>
        <w:rPr>
          <w:rFonts w:ascii="Times New Roman" w:hAnsi="Times New Roman" w:cs="Times New Roman"/>
        </w:rPr>
      </w:pPr>
      <w:r w:rsidRPr="00B74A8C">
        <w:rPr>
          <w:rStyle w:val="FootnoteReference"/>
          <w:rFonts w:ascii="Times New Roman" w:hAnsi="Times New Roman" w:cs="Times New Roman"/>
        </w:rPr>
        <w:footnoteRef/>
      </w:r>
      <w:r w:rsidRPr="00B74A8C">
        <w:rPr>
          <w:rFonts w:ascii="Times New Roman" w:hAnsi="Times New Roman" w:cs="Times New Roman"/>
        </w:rPr>
        <w:t xml:space="preserve"> </w:t>
      </w:r>
      <w:proofErr w:type="spellStart"/>
      <w:r w:rsidR="001F20E5" w:rsidRPr="001306D7">
        <w:rPr>
          <w:rFonts w:ascii="Times New Roman" w:hAnsi="Times New Roman" w:cs="Times New Roman"/>
          <w:i/>
        </w:rPr>
        <w:t>Anim</w:t>
      </w:r>
      <w:proofErr w:type="spellEnd"/>
      <w:r w:rsidR="001F20E5" w:rsidRPr="001306D7">
        <w:rPr>
          <w:rFonts w:ascii="Times New Roman" w:hAnsi="Times New Roman" w:cs="Times New Roman"/>
          <w:i/>
        </w:rPr>
        <w:t xml:space="preserve"> Investment Co. v. </w:t>
      </w:r>
      <w:proofErr w:type="spellStart"/>
      <w:r w:rsidR="001F20E5" w:rsidRPr="001306D7">
        <w:rPr>
          <w:rFonts w:ascii="Times New Roman" w:hAnsi="Times New Roman" w:cs="Times New Roman"/>
          <w:i/>
        </w:rPr>
        <w:t>Shalhoub</w:t>
      </w:r>
      <w:proofErr w:type="spellEnd"/>
      <w:r w:rsidR="001F20E5" w:rsidRPr="001306D7">
        <w:rPr>
          <w:rFonts w:ascii="Times New Roman" w:hAnsi="Times New Roman" w:cs="Times New Roman"/>
        </w:rPr>
        <w:t>, 2018 WL 1074741</w:t>
      </w:r>
      <w:r w:rsidR="001F20E5">
        <w:rPr>
          <w:rFonts w:ascii="Times New Roman" w:hAnsi="Times New Roman" w:cs="Times New Roman"/>
        </w:rPr>
        <w:t xml:space="preserve"> at *4</w:t>
      </w:r>
      <w:r w:rsidR="001F20E5" w:rsidRPr="001306D7">
        <w:rPr>
          <w:rFonts w:ascii="Times New Roman" w:hAnsi="Times New Roman" w:cs="Times New Roman"/>
        </w:rPr>
        <w:t xml:space="preserve"> (App. Div. 2018)</w:t>
      </w:r>
      <w:r w:rsidR="001F20E5">
        <w:rPr>
          <w:rFonts w:ascii="Times New Roman" w:hAnsi="Times New Roman" w:cs="Times New Roman"/>
        </w:rPr>
        <w:t>.</w:t>
      </w:r>
    </w:p>
  </w:footnote>
  <w:footnote w:id="20">
    <w:p w:rsidR="003C041F" w:rsidRPr="003C041F" w:rsidRDefault="003C041F">
      <w:pPr>
        <w:pStyle w:val="FootnoteText"/>
        <w:rPr>
          <w:rFonts w:ascii="Times New Roman" w:hAnsi="Times New Roman" w:cs="Times New Roman"/>
        </w:rPr>
      </w:pPr>
      <w:r w:rsidRPr="003C041F">
        <w:rPr>
          <w:rStyle w:val="FootnoteReference"/>
          <w:rFonts w:ascii="Times New Roman" w:hAnsi="Times New Roman" w:cs="Times New Roman"/>
        </w:rPr>
        <w:footnoteRef/>
      </w:r>
      <w:r w:rsidRPr="003C041F">
        <w:rPr>
          <w:rFonts w:ascii="Times New Roman" w:hAnsi="Times New Roman" w:cs="Times New Roman"/>
        </w:rPr>
        <w:t xml:space="preserve"> </w:t>
      </w:r>
      <w:r w:rsidRPr="003C041F">
        <w:rPr>
          <w:rFonts w:ascii="Times New Roman" w:hAnsi="Times New Roman" w:cs="Times New Roman"/>
          <w:i/>
        </w:rPr>
        <w:t>Id</w:t>
      </w:r>
      <w:r w:rsidRPr="003C041F">
        <w:rPr>
          <w:rFonts w:ascii="Times New Roman" w:hAnsi="Times New Roman" w:cs="Times New Roman"/>
        </w:rPr>
        <w:t>.</w:t>
      </w:r>
    </w:p>
  </w:footnote>
  <w:footnote w:id="21">
    <w:p w:rsidR="000D684A" w:rsidRPr="000D684A" w:rsidRDefault="000D684A">
      <w:pPr>
        <w:pStyle w:val="FootnoteText"/>
        <w:rPr>
          <w:rFonts w:ascii="Times New Roman" w:hAnsi="Times New Roman" w:cs="Times New Roman"/>
        </w:rPr>
      </w:pPr>
      <w:r w:rsidRPr="000D684A">
        <w:rPr>
          <w:rStyle w:val="FootnoteReference"/>
          <w:rFonts w:ascii="Times New Roman" w:hAnsi="Times New Roman" w:cs="Times New Roman"/>
        </w:rPr>
        <w:footnoteRef/>
      </w:r>
      <w:r w:rsidRPr="000D684A">
        <w:rPr>
          <w:rFonts w:ascii="Times New Roman" w:hAnsi="Times New Roman" w:cs="Times New Roman"/>
        </w:rPr>
        <w:t xml:space="preserve"> </w:t>
      </w:r>
      <w:r w:rsidRPr="000D684A">
        <w:rPr>
          <w:rFonts w:ascii="Times New Roman" w:hAnsi="Times New Roman" w:cs="Times New Roman"/>
          <w:i/>
        </w:rPr>
        <w:t>Id</w:t>
      </w:r>
      <w:r w:rsidRPr="000D684A">
        <w:rPr>
          <w:rFonts w:ascii="Times New Roman" w:hAnsi="Times New Roman" w:cs="Times New Roman"/>
        </w:rPr>
        <w:t>.</w:t>
      </w:r>
    </w:p>
  </w:footnote>
  <w:footnote w:id="22">
    <w:p w:rsidR="005705B7" w:rsidRPr="005705B7" w:rsidRDefault="005705B7">
      <w:pPr>
        <w:pStyle w:val="FootnoteText"/>
        <w:rPr>
          <w:rFonts w:ascii="Times New Roman" w:hAnsi="Times New Roman" w:cs="Times New Roman"/>
        </w:rPr>
      </w:pPr>
      <w:r w:rsidRPr="005705B7">
        <w:rPr>
          <w:rStyle w:val="FootnoteReference"/>
          <w:rFonts w:ascii="Times New Roman" w:hAnsi="Times New Roman" w:cs="Times New Roman"/>
        </w:rPr>
        <w:footnoteRef/>
      </w:r>
      <w:r w:rsidRPr="005705B7">
        <w:rPr>
          <w:rFonts w:ascii="Times New Roman" w:hAnsi="Times New Roman" w:cs="Times New Roman"/>
        </w:rPr>
        <w:t xml:space="preserve"> </w:t>
      </w:r>
      <w:r w:rsidRPr="005705B7">
        <w:rPr>
          <w:rFonts w:ascii="Times New Roman" w:hAnsi="Times New Roman" w:cs="Times New Roman"/>
          <w:i/>
        </w:rPr>
        <w:t>Id</w:t>
      </w:r>
      <w:r w:rsidRPr="005705B7">
        <w:rPr>
          <w:rFonts w:ascii="Times New Roman" w:hAnsi="Times New Roman" w:cs="Times New Roman"/>
        </w:rPr>
        <w:t>. at *5.</w:t>
      </w:r>
    </w:p>
  </w:footnote>
  <w:footnote w:id="23">
    <w:p w:rsidR="00ED6F44" w:rsidRPr="00C0594C" w:rsidRDefault="00ED6F44">
      <w:pPr>
        <w:pStyle w:val="FootnoteText"/>
        <w:rPr>
          <w:rFonts w:ascii="Times New Roman" w:hAnsi="Times New Roman" w:cs="Times New Roman"/>
        </w:rPr>
      </w:pPr>
      <w:r w:rsidRPr="00ED6F44">
        <w:rPr>
          <w:rStyle w:val="FootnoteReference"/>
          <w:rFonts w:ascii="Times New Roman" w:hAnsi="Times New Roman" w:cs="Times New Roman"/>
        </w:rPr>
        <w:footnoteRef/>
      </w:r>
      <w:r w:rsidRPr="00ED6F44">
        <w:rPr>
          <w:rFonts w:ascii="Times New Roman" w:hAnsi="Times New Roman" w:cs="Times New Roman"/>
        </w:rPr>
        <w:t xml:space="preserve"> </w:t>
      </w:r>
      <w:r w:rsidR="00C0594C">
        <w:rPr>
          <w:rFonts w:ascii="Times New Roman" w:hAnsi="Times New Roman" w:cs="Times New Roman"/>
          <w:i/>
        </w:rPr>
        <w:t>Id</w:t>
      </w:r>
      <w:r w:rsidR="00C0594C">
        <w:rPr>
          <w:rFonts w:ascii="Times New Roman" w:hAnsi="Times New Roman" w:cs="Times New Roman"/>
        </w:rPr>
        <w:t>.</w:t>
      </w:r>
    </w:p>
  </w:footnote>
  <w:footnote w:id="24">
    <w:p w:rsidR="00B038E5" w:rsidRPr="00B038E5" w:rsidRDefault="00B038E5">
      <w:pPr>
        <w:pStyle w:val="FootnoteText"/>
        <w:rPr>
          <w:rFonts w:ascii="Times New Roman" w:hAnsi="Times New Roman" w:cs="Times New Roman"/>
        </w:rPr>
      </w:pPr>
      <w:r w:rsidRPr="00B038E5">
        <w:rPr>
          <w:rStyle w:val="FootnoteReference"/>
          <w:rFonts w:ascii="Times New Roman" w:hAnsi="Times New Roman" w:cs="Times New Roman"/>
        </w:rPr>
        <w:footnoteRef/>
      </w:r>
      <w:r w:rsidRPr="00B038E5">
        <w:rPr>
          <w:rFonts w:ascii="Times New Roman" w:hAnsi="Times New Roman" w:cs="Times New Roman"/>
        </w:rPr>
        <w:t xml:space="preserve"> </w:t>
      </w:r>
      <w:proofErr w:type="spellStart"/>
      <w:r w:rsidR="00C0594C" w:rsidRPr="00ED6F44">
        <w:rPr>
          <w:rFonts w:ascii="Times New Roman" w:hAnsi="Times New Roman" w:cs="Times New Roman"/>
          <w:i/>
        </w:rPr>
        <w:t>Anim</w:t>
      </w:r>
      <w:proofErr w:type="spellEnd"/>
      <w:r w:rsidR="00C0594C" w:rsidRPr="00ED6F44">
        <w:rPr>
          <w:rFonts w:ascii="Times New Roman" w:hAnsi="Times New Roman" w:cs="Times New Roman"/>
          <w:i/>
        </w:rPr>
        <w:t xml:space="preserve"> Investment Co. v. </w:t>
      </w:r>
      <w:proofErr w:type="spellStart"/>
      <w:r w:rsidR="00C0594C" w:rsidRPr="00ED6F44">
        <w:rPr>
          <w:rFonts w:ascii="Times New Roman" w:hAnsi="Times New Roman" w:cs="Times New Roman"/>
          <w:i/>
        </w:rPr>
        <w:t>Shalhoub</w:t>
      </w:r>
      <w:proofErr w:type="spellEnd"/>
      <w:r w:rsidR="00C0594C" w:rsidRPr="00ED6F44">
        <w:rPr>
          <w:rFonts w:ascii="Times New Roman" w:hAnsi="Times New Roman" w:cs="Times New Roman"/>
        </w:rPr>
        <w:t>, 2018 WL 1074741 at *5 (App. Div. 2018).</w:t>
      </w:r>
    </w:p>
  </w:footnote>
  <w:footnote w:id="25">
    <w:p w:rsidR="00B038E5" w:rsidRPr="00B038E5" w:rsidRDefault="00B038E5">
      <w:pPr>
        <w:pStyle w:val="FootnoteText"/>
        <w:rPr>
          <w:rFonts w:ascii="Times New Roman" w:hAnsi="Times New Roman" w:cs="Times New Roman"/>
        </w:rPr>
      </w:pPr>
      <w:r w:rsidRPr="00B038E5">
        <w:rPr>
          <w:rStyle w:val="FootnoteReference"/>
          <w:rFonts w:ascii="Times New Roman" w:hAnsi="Times New Roman" w:cs="Times New Roman"/>
        </w:rPr>
        <w:footnoteRef/>
      </w:r>
      <w:r w:rsidRPr="00B038E5">
        <w:rPr>
          <w:rFonts w:ascii="Times New Roman" w:hAnsi="Times New Roman" w:cs="Times New Roman"/>
        </w:rPr>
        <w:t xml:space="preserve"> </w:t>
      </w:r>
      <w:r w:rsidRPr="00B038E5">
        <w:rPr>
          <w:rFonts w:ascii="Times New Roman" w:hAnsi="Times New Roman" w:cs="Times New Roman"/>
          <w:i/>
        </w:rPr>
        <w:t>Id</w:t>
      </w:r>
      <w:r w:rsidRPr="00B038E5">
        <w:rPr>
          <w:rFonts w:ascii="Times New Roman" w:hAnsi="Times New Roman" w:cs="Times New Roman"/>
        </w:rPr>
        <w:t>.</w:t>
      </w:r>
    </w:p>
  </w:footnote>
  <w:footnote w:id="26">
    <w:p w:rsidR="00E05886" w:rsidRPr="00E05886" w:rsidRDefault="00E05886">
      <w:pPr>
        <w:pStyle w:val="FootnoteText"/>
        <w:rPr>
          <w:rFonts w:ascii="Times New Roman" w:hAnsi="Times New Roman" w:cs="Times New Roman"/>
        </w:rPr>
      </w:pPr>
      <w:r w:rsidRPr="00E05886">
        <w:rPr>
          <w:rStyle w:val="FootnoteReference"/>
          <w:rFonts w:ascii="Times New Roman" w:hAnsi="Times New Roman" w:cs="Times New Roman"/>
        </w:rPr>
        <w:footnoteRef/>
      </w:r>
      <w:r w:rsidRPr="00E05886">
        <w:rPr>
          <w:rFonts w:ascii="Times New Roman" w:hAnsi="Times New Roman" w:cs="Times New Roman"/>
        </w:rPr>
        <w:t xml:space="preserve"> </w:t>
      </w:r>
      <w:r w:rsidRPr="00E05886">
        <w:rPr>
          <w:rFonts w:ascii="Times New Roman" w:hAnsi="Times New Roman" w:cs="Times New Roman"/>
          <w:i/>
        </w:rPr>
        <w:t>Id</w:t>
      </w:r>
      <w:r w:rsidRPr="00E05886">
        <w:rPr>
          <w:rFonts w:ascii="Times New Roman" w:hAnsi="Times New Roman" w:cs="Times New Roman"/>
        </w:rPr>
        <w:t>.</w:t>
      </w:r>
    </w:p>
  </w:footnote>
  <w:footnote w:id="27">
    <w:p w:rsidR="00C57ABB" w:rsidRPr="00C57ABB" w:rsidRDefault="00C57ABB">
      <w:pPr>
        <w:pStyle w:val="FootnoteText"/>
        <w:rPr>
          <w:rFonts w:ascii="Times New Roman" w:hAnsi="Times New Roman" w:cs="Times New Roman"/>
        </w:rPr>
      </w:pPr>
      <w:r w:rsidRPr="00C57ABB">
        <w:rPr>
          <w:rStyle w:val="FootnoteReference"/>
          <w:rFonts w:ascii="Times New Roman" w:hAnsi="Times New Roman" w:cs="Times New Roman"/>
        </w:rPr>
        <w:footnoteRef/>
      </w:r>
      <w:r w:rsidRPr="00C57ABB">
        <w:rPr>
          <w:rFonts w:ascii="Times New Roman" w:hAnsi="Times New Roman" w:cs="Times New Roman"/>
        </w:rPr>
        <w:t xml:space="preserve"> </w:t>
      </w:r>
      <w:proofErr w:type="spellStart"/>
      <w:r w:rsidRPr="00C57ABB">
        <w:rPr>
          <w:rFonts w:ascii="Times New Roman" w:hAnsi="Times New Roman" w:cs="Times New Roman"/>
          <w:i/>
        </w:rPr>
        <w:t>Anim</w:t>
      </w:r>
      <w:proofErr w:type="spellEnd"/>
      <w:r w:rsidRPr="00C57ABB">
        <w:rPr>
          <w:rFonts w:ascii="Times New Roman" w:hAnsi="Times New Roman" w:cs="Times New Roman"/>
          <w:i/>
        </w:rPr>
        <w:t xml:space="preserve"> Investment v. </w:t>
      </w:r>
      <w:proofErr w:type="spellStart"/>
      <w:r w:rsidRPr="00C57ABB">
        <w:rPr>
          <w:rFonts w:ascii="Times New Roman" w:hAnsi="Times New Roman" w:cs="Times New Roman"/>
          <w:i/>
        </w:rPr>
        <w:t>Shalhoub</w:t>
      </w:r>
      <w:proofErr w:type="spellEnd"/>
      <w:r w:rsidRPr="00C57ABB">
        <w:rPr>
          <w:rFonts w:ascii="Times New Roman" w:hAnsi="Times New Roman" w:cs="Times New Roman"/>
        </w:rPr>
        <w:t>, 233 N.J. 372 (2018).</w:t>
      </w:r>
    </w:p>
  </w:footnote>
  <w:footnote w:id="28">
    <w:p w:rsidR="001A7986" w:rsidRPr="001A7986" w:rsidRDefault="001A798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Pfeifer v. McLaughlin</w:t>
      </w:r>
      <w:r>
        <w:rPr>
          <w:rFonts w:ascii="Times New Roman" w:hAnsi="Times New Roman" w:cs="Times New Roman"/>
        </w:rPr>
        <w:t>, 2018 WL 4167334 at *1 (App. Div. 2018).</w:t>
      </w:r>
    </w:p>
  </w:footnote>
  <w:footnote w:id="29">
    <w:p w:rsidR="00F53869" w:rsidRPr="00F53869" w:rsidRDefault="00F53869">
      <w:pPr>
        <w:pStyle w:val="FootnoteText"/>
        <w:rPr>
          <w:rFonts w:ascii="Times New Roman" w:hAnsi="Times New Roman" w:cs="Times New Roman"/>
        </w:rPr>
      </w:pPr>
      <w:r w:rsidRPr="00F53869">
        <w:rPr>
          <w:rStyle w:val="FootnoteReference"/>
          <w:rFonts w:ascii="Times New Roman" w:hAnsi="Times New Roman" w:cs="Times New Roman"/>
        </w:rPr>
        <w:footnoteRef/>
      </w:r>
      <w:r w:rsidRPr="00F53869">
        <w:rPr>
          <w:rFonts w:ascii="Times New Roman" w:hAnsi="Times New Roman" w:cs="Times New Roman"/>
        </w:rPr>
        <w:t xml:space="preserve"> </w:t>
      </w:r>
      <w:r w:rsidRPr="00F53869">
        <w:rPr>
          <w:rFonts w:ascii="Times New Roman" w:hAnsi="Times New Roman" w:cs="Times New Roman"/>
          <w:i/>
        </w:rPr>
        <w:t>Id</w:t>
      </w:r>
      <w:r w:rsidRPr="00F53869">
        <w:rPr>
          <w:rFonts w:ascii="Times New Roman" w:hAnsi="Times New Roman" w:cs="Times New Roman"/>
        </w:rPr>
        <w:t>.</w:t>
      </w:r>
    </w:p>
  </w:footnote>
  <w:footnote w:id="30">
    <w:p w:rsidR="00910CE0" w:rsidRPr="00910CE0" w:rsidRDefault="00910CE0">
      <w:pPr>
        <w:pStyle w:val="FootnoteText"/>
        <w:rPr>
          <w:rFonts w:ascii="Times New Roman" w:hAnsi="Times New Roman" w:cs="Times New Roman"/>
        </w:rPr>
      </w:pPr>
      <w:r w:rsidRPr="00910CE0">
        <w:rPr>
          <w:rStyle w:val="FootnoteReference"/>
          <w:rFonts w:ascii="Times New Roman" w:hAnsi="Times New Roman" w:cs="Times New Roman"/>
        </w:rPr>
        <w:footnoteRef/>
      </w:r>
      <w:r w:rsidRPr="00910CE0">
        <w:rPr>
          <w:rFonts w:ascii="Times New Roman" w:hAnsi="Times New Roman" w:cs="Times New Roman"/>
        </w:rPr>
        <w:t xml:space="preserve"> </w:t>
      </w:r>
      <w:r w:rsidRPr="00910CE0">
        <w:rPr>
          <w:rFonts w:ascii="Times New Roman" w:hAnsi="Times New Roman" w:cs="Times New Roman"/>
          <w:i/>
        </w:rPr>
        <w:t>Id</w:t>
      </w:r>
      <w:r w:rsidRPr="00910CE0">
        <w:rPr>
          <w:rFonts w:ascii="Times New Roman" w:hAnsi="Times New Roman" w:cs="Times New Roman"/>
        </w:rPr>
        <w:t>.</w:t>
      </w:r>
    </w:p>
  </w:footnote>
  <w:footnote w:id="31">
    <w:p w:rsidR="008D225A" w:rsidRPr="008D225A" w:rsidRDefault="008D225A">
      <w:pPr>
        <w:pStyle w:val="FootnoteText"/>
        <w:rPr>
          <w:rFonts w:ascii="Times New Roman" w:hAnsi="Times New Roman" w:cs="Times New Roman"/>
        </w:rPr>
      </w:pPr>
      <w:r w:rsidRPr="008D225A">
        <w:rPr>
          <w:rStyle w:val="FootnoteReference"/>
          <w:rFonts w:ascii="Times New Roman" w:hAnsi="Times New Roman" w:cs="Times New Roman"/>
        </w:rPr>
        <w:footnoteRef/>
      </w:r>
      <w:r w:rsidRPr="008D225A">
        <w:rPr>
          <w:rFonts w:ascii="Times New Roman" w:hAnsi="Times New Roman" w:cs="Times New Roman"/>
        </w:rPr>
        <w:t xml:space="preserve"> </w:t>
      </w:r>
      <w:r w:rsidRPr="008D225A">
        <w:rPr>
          <w:rFonts w:ascii="Times New Roman" w:hAnsi="Times New Roman" w:cs="Times New Roman"/>
          <w:i/>
        </w:rPr>
        <w:t>Id</w:t>
      </w:r>
      <w:r w:rsidRPr="008D225A">
        <w:rPr>
          <w:rFonts w:ascii="Times New Roman" w:hAnsi="Times New Roman" w:cs="Times New Roman"/>
        </w:rPr>
        <w:t>.</w:t>
      </w:r>
    </w:p>
  </w:footnote>
  <w:footnote w:id="32">
    <w:p w:rsidR="009E5173" w:rsidRPr="009E5173" w:rsidRDefault="009E5173">
      <w:pPr>
        <w:pStyle w:val="FootnoteText"/>
        <w:rPr>
          <w:rFonts w:ascii="Times New Roman" w:hAnsi="Times New Roman" w:cs="Times New Roman"/>
        </w:rPr>
      </w:pPr>
      <w:r w:rsidRPr="009E5173">
        <w:rPr>
          <w:rStyle w:val="FootnoteReference"/>
          <w:rFonts w:ascii="Times New Roman" w:hAnsi="Times New Roman" w:cs="Times New Roman"/>
        </w:rPr>
        <w:footnoteRef/>
      </w:r>
      <w:r w:rsidRPr="009E5173">
        <w:rPr>
          <w:rFonts w:ascii="Times New Roman" w:hAnsi="Times New Roman" w:cs="Times New Roman"/>
        </w:rPr>
        <w:t xml:space="preserve"> </w:t>
      </w:r>
      <w:r w:rsidRPr="009E5173">
        <w:rPr>
          <w:rFonts w:ascii="Times New Roman" w:hAnsi="Times New Roman" w:cs="Times New Roman"/>
          <w:i/>
        </w:rPr>
        <w:t>Id</w:t>
      </w:r>
      <w:r w:rsidRPr="009E5173">
        <w:rPr>
          <w:rFonts w:ascii="Times New Roman" w:hAnsi="Times New Roman" w:cs="Times New Roman"/>
        </w:rPr>
        <w:t>.</w:t>
      </w:r>
    </w:p>
  </w:footnote>
  <w:footnote w:id="33">
    <w:p w:rsidR="009E5173" w:rsidRPr="009E5173" w:rsidRDefault="009E5173">
      <w:pPr>
        <w:pStyle w:val="FootnoteText"/>
        <w:rPr>
          <w:rFonts w:ascii="Times New Roman" w:hAnsi="Times New Roman" w:cs="Times New Roman"/>
        </w:rPr>
      </w:pPr>
      <w:r w:rsidRPr="009E5173">
        <w:rPr>
          <w:rStyle w:val="FootnoteReference"/>
          <w:rFonts w:ascii="Times New Roman" w:hAnsi="Times New Roman" w:cs="Times New Roman"/>
        </w:rPr>
        <w:footnoteRef/>
      </w:r>
      <w:r w:rsidRPr="009E5173">
        <w:rPr>
          <w:rFonts w:ascii="Times New Roman" w:hAnsi="Times New Roman" w:cs="Times New Roman"/>
        </w:rPr>
        <w:t xml:space="preserve"> </w:t>
      </w:r>
      <w:r w:rsidRPr="009E5173">
        <w:rPr>
          <w:rFonts w:ascii="Times New Roman" w:hAnsi="Times New Roman" w:cs="Times New Roman"/>
          <w:i/>
        </w:rPr>
        <w:t>Pfeifer v. McLaughlin</w:t>
      </w:r>
      <w:r w:rsidRPr="009E5173">
        <w:rPr>
          <w:rFonts w:ascii="Times New Roman" w:hAnsi="Times New Roman" w:cs="Times New Roman"/>
        </w:rPr>
        <w:t>, 2018 WL 4167334 at *1 (App. Div. 2018).</w:t>
      </w:r>
    </w:p>
  </w:footnote>
  <w:footnote w:id="34">
    <w:p w:rsidR="00882951" w:rsidRPr="00882951" w:rsidRDefault="00882951">
      <w:pPr>
        <w:pStyle w:val="FootnoteText"/>
        <w:rPr>
          <w:rFonts w:ascii="Times New Roman" w:hAnsi="Times New Roman" w:cs="Times New Roman"/>
        </w:rPr>
      </w:pPr>
      <w:r w:rsidRPr="00882951">
        <w:rPr>
          <w:rStyle w:val="FootnoteReference"/>
          <w:rFonts w:ascii="Times New Roman" w:hAnsi="Times New Roman" w:cs="Times New Roman"/>
        </w:rPr>
        <w:footnoteRef/>
      </w:r>
      <w:r w:rsidRPr="00882951">
        <w:rPr>
          <w:rFonts w:ascii="Times New Roman" w:hAnsi="Times New Roman" w:cs="Times New Roman"/>
        </w:rPr>
        <w:t xml:space="preserve"> </w:t>
      </w:r>
      <w:r w:rsidRPr="00882951">
        <w:rPr>
          <w:rFonts w:ascii="Times New Roman" w:hAnsi="Times New Roman" w:cs="Times New Roman"/>
          <w:i/>
        </w:rPr>
        <w:t>Id</w:t>
      </w:r>
      <w:r w:rsidRPr="00882951">
        <w:rPr>
          <w:rFonts w:ascii="Times New Roman" w:hAnsi="Times New Roman" w:cs="Times New Roman"/>
        </w:rPr>
        <w:t>.</w:t>
      </w:r>
    </w:p>
  </w:footnote>
  <w:footnote w:id="35">
    <w:p w:rsidR="00DF0033" w:rsidRPr="001312AE" w:rsidRDefault="00DF0033">
      <w:pPr>
        <w:pStyle w:val="FootnoteText"/>
        <w:rPr>
          <w:rFonts w:ascii="Times New Roman" w:hAnsi="Times New Roman" w:cs="Times New Roman"/>
        </w:rPr>
      </w:pPr>
      <w:r w:rsidRPr="001312AE">
        <w:rPr>
          <w:rStyle w:val="FootnoteReference"/>
          <w:rFonts w:ascii="Times New Roman" w:hAnsi="Times New Roman" w:cs="Times New Roman"/>
        </w:rPr>
        <w:footnoteRef/>
      </w:r>
      <w:r w:rsidRPr="001312AE">
        <w:rPr>
          <w:rFonts w:ascii="Times New Roman" w:hAnsi="Times New Roman" w:cs="Times New Roman"/>
        </w:rPr>
        <w:t xml:space="preserve"> </w:t>
      </w:r>
      <w:r w:rsidRPr="001312AE">
        <w:rPr>
          <w:rFonts w:ascii="Times New Roman" w:hAnsi="Times New Roman" w:cs="Times New Roman"/>
          <w:i/>
        </w:rPr>
        <w:t>Id</w:t>
      </w:r>
      <w:r w:rsidRPr="001312AE">
        <w:rPr>
          <w:rFonts w:ascii="Times New Roman" w:hAnsi="Times New Roman" w:cs="Times New Roman"/>
        </w:rPr>
        <w:t>.</w:t>
      </w:r>
    </w:p>
  </w:footnote>
  <w:footnote w:id="36">
    <w:p w:rsidR="001312AE" w:rsidRPr="001312AE" w:rsidRDefault="001312AE">
      <w:pPr>
        <w:pStyle w:val="FootnoteText"/>
      </w:pPr>
      <w:r w:rsidRPr="001312AE">
        <w:rPr>
          <w:rStyle w:val="FootnoteReference"/>
          <w:rFonts w:ascii="Times New Roman" w:hAnsi="Times New Roman" w:cs="Times New Roman"/>
        </w:rPr>
        <w:footnoteRef/>
      </w:r>
      <w:r w:rsidRPr="001312AE">
        <w:rPr>
          <w:rFonts w:ascii="Times New Roman" w:hAnsi="Times New Roman" w:cs="Times New Roman"/>
        </w:rPr>
        <w:t xml:space="preserve"> </w:t>
      </w:r>
      <w:r w:rsidRPr="001312AE">
        <w:rPr>
          <w:rFonts w:ascii="Times New Roman" w:hAnsi="Times New Roman" w:cs="Times New Roman"/>
          <w:i/>
        </w:rPr>
        <w:t>Id</w:t>
      </w:r>
      <w:r w:rsidRPr="001312AE">
        <w:rPr>
          <w:rFonts w:ascii="Times New Roman" w:hAnsi="Times New Roman" w:cs="Times New Roman"/>
        </w:rPr>
        <w:t>.</w:t>
      </w:r>
    </w:p>
  </w:footnote>
  <w:footnote w:id="37">
    <w:p w:rsidR="00273B1C" w:rsidRPr="00273B1C" w:rsidRDefault="00273B1C">
      <w:pPr>
        <w:pStyle w:val="FootnoteText"/>
        <w:rPr>
          <w:rFonts w:ascii="Times New Roman" w:hAnsi="Times New Roman" w:cs="Times New Roman"/>
        </w:rPr>
      </w:pPr>
      <w:r w:rsidRPr="00273B1C">
        <w:rPr>
          <w:rStyle w:val="FootnoteReference"/>
          <w:rFonts w:ascii="Times New Roman" w:hAnsi="Times New Roman" w:cs="Times New Roman"/>
        </w:rPr>
        <w:footnoteRef/>
      </w:r>
      <w:r w:rsidRPr="00273B1C">
        <w:rPr>
          <w:rFonts w:ascii="Times New Roman" w:hAnsi="Times New Roman" w:cs="Times New Roman"/>
        </w:rPr>
        <w:t xml:space="preserve"> </w:t>
      </w:r>
      <w:r w:rsidRPr="00273B1C">
        <w:rPr>
          <w:rFonts w:ascii="Times New Roman" w:hAnsi="Times New Roman" w:cs="Times New Roman"/>
          <w:i/>
        </w:rPr>
        <w:t>Id</w:t>
      </w:r>
      <w:r w:rsidRPr="00273B1C">
        <w:rPr>
          <w:rFonts w:ascii="Times New Roman" w:hAnsi="Times New Roman" w:cs="Times New Roman"/>
        </w:rPr>
        <w:t>.</w:t>
      </w:r>
    </w:p>
  </w:footnote>
  <w:footnote w:id="38">
    <w:p w:rsidR="00A313D0" w:rsidRPr="00A313D0" w:rsidRDefault="00A313D0">
      <w:pPr>
        <w:pStyle w:val="FootnoteText"/>
        <w:rPr>
          <w:rFonts w:ascii="Times New Roman" w:hAnsi="Times New Roman" w:cs="Times New Roman"/>
        </w:rPr>
      </w:pPr>
      <w:r w:rsidRPr="00A313D0">
        <w:rPr>
          <w:rStyle w:val="FootnoteReference"/>
          <w:rFonts w:ascii="Times New Roman" w:hAnsi="Times New Roman" w:cs="Times New Roman"/>
        </w:rPr>
        <w:footnoteRef/>
      </w:r>
      <w:r w:rsidRPr="00A313D0">
        <w:rPr>
          <w:rFonts w:ascii="Times New Roman" w:hAnsi="Times New Roman" w:cs="Times New Roman"/>
        </w:rPr>
        <w:t xml:space="preserve"> </w:t>
      </w:r>
      <w:r w:rsidRPr="00A313D0">
        <w:rPr>
          <w:rFonts w:ascii="Times New Roman" w:hAnsi="Times New Roman" w:cs="Times New Roman"/>
          <w:i/>
        </w:rPr>
        <w:t>Pfeifer v. McLaughlin</w:t>
      </w:r>
      <w:r w:rsidR="00F10204">
        <w:rPr>
          <w:rFonts w:ascii="Times New Roman" w:hAnsi="Times New Roman" w:cs="Times New Roman"/>
        </w:rPr>
        <w:t>, 2018 WL 4167334 at *2</w:t>
      </w:r>
      <w:r w:rsidRPr="00A313D0">
        <w:rPr>
          <w:rFonts w:ascii="Times New Roman" w:hAnsi="Times New Roman" w:cs="Times New Roman"/>
        </w:rPr>
        <w:t xml:space="preserve"> (App. Div. 2018).</w:t>
      </w:r>
    </w:p>
  </w:footnote>
  <w:footnote w:id="39">
    <w:p w:rsidR="00F10204" w:rsidRPr="009B38D0" w:rsidRDefault="00F10204">
      <w:pPr>
        <w:pStyle w:val="FootnoteText"/>
        <w:rPr>
          <w:rFonts w:ascii="Times New Roman" w:hAnsi="Times New Roman" w:cs="Times New Roman"/>
        </w:rPr>
      </w:pPr>
      <w:r w:rsidRPr="009B38D0">
        <w:rPr>
          <w:rStyle w:val="FootnoteReference"/>
          <w:rFonts w:ascii="Times New Roman" w:hAnsi="Times New Roman" w:cs="Times New Roman"/>
        </w:rPr>
        <w:footnoteRef/>
      </w:r>
      <w:r w:rsidRPr="009B38D0">
        <w:rPr>
          <w:rFonts w:ascii="Times New Roman" w:hAnsi="Times New Roman" w:cs="Times New Roman"/>
        </w:rPr>
        <w:t xml:space="preserve"> </w:t>
      </w:r>
      <w:r w:rsidR="009B38D0" w:rsidRPr="009B38D0">
        <w:rPr>
          <w:rFonts w:ascii="Times New Roman" w:hAnsi="Times New Roman" w:cs="Times New Roman"/>
          <w:i/>
        </w:rPr>
        <w:t>Id</w:t>
      </w:r>
      <w:r w:rsidR="009B38D0" w:rsidRPr="009B38D0">
        <w:rPr>
          <w:rFonts w:ascii="Times New Roman" w:hAnsi="Times New Roman" w:cs="Times New Roman"/>
        </w:rPr>
        <w:t>.</w:t>
      </w:r>
    </w:p>
  </w:footnote>
  <w:footnote w:id="40">
    <w:p w:rsidR="00D10299" w:rsidRPr="00D10299" w:rsidRDefault="00D10299">
      <w:pPr>
        <w:pStyle w:val="FootnoteText"/>
        <w:rPr>
          <w:rFonts w:ascii="Times New Roman" w:hAnsi="Times New Roman" w:cs="Times New Roman"/>
        </w:rPr>
      </w:pPr>
      <w:r w:rsidRPr="00D10299">
        <w:rPr>
          <w:rStyle w:val="FootnoteReference"/>
          <w:rFonts w:ascii="Times New Roman" w:hAnsi="Times New Roman" w:cs="Times New Roman"/>
        </w:rPr>
        <w:footnoteRef/>
      </w:r>
      <w:r w:rsidRPr="00D10299">
        <w:rPr>
          <w:rFonts w:ascii="Times New Roman" w:hAnsi="Times New Roman" w:cs="Times New Roman"/>
        </w:rPr>
        <w:t xml:space="preserve"> </w:t>
      </w:r>
      <w:r w:rsidRPr="00D10299">
        <w:rPr>
          <w:rFonts w:ascii="Times New Roman" w:hAnsi="Times New Roman" w:cs="Times New Roman"/>
          <w:i/>
        </w:rPr>
        <w:t>Id</w:t>
      </w:r>
      <w:r w:rsidRPr="00D10299">
        <w:rPr>
          <w:rFonts w:ascii="Times New Roman" w:hAnsi="Times New Roman" w:cs="Times New Roman"/>
        </w:rPr>
        <w:t>.</w:t>
      </w:r>
    </w:p>
  </w:footnote>
  <w:footnote w:id="41">
    <w:p w:rsidR="0023074F" w:rsidRPr="0023074F" w:rsidRDefault="0023074F">
      <w:pPr>
        <w:pStyle w:val="FootnoteText"/>
        <w:rPr>
          <w:rFonts w:ascii="Times New Roman" w:hAnsi="Times New Roman" w:cs="Times New Roman"/>
        </w:rPr>
      </w:pPr>
      <w:r w:rsidRPr="0023074F">
        <w:rPr>
          <w:rStyle w:val="FootnoteReference"/>
          <w:rFonts w:ascii="Times New Roman" w:hAnsi="Times New Roman" w:cs="Times New Roman"/>
        </w:rPr>
        <w:footnoteRef/>
      </w:r>
      <w:r w:rsidRPr="0023074F">
        <w:rPr>
          <w:rFonts w:ascii="Times New Roman" w:hAnsi="Times New Roman" w:cs="Times New Roman"/>
        </w:rPr>
        <w:t xml:space="preserve"> </w:t>
      </w:r>
      <w:r w:rsidRPr="0023074F">
        <w:rPr>
          <w:rFonts w:ascii="Times New Roman" w:hAnsi="Times New Roman" w:cs="Times New Roman"/>
          <w:i/>
        </w:rPr>
        <w:t>Id</w:t>
      </w:r>
      <w:r w:rsidRPr="0023074F">
        <w:rPr>
          <w:rFonts w:ascii="Times New Roman" w:hAnsi="Times New Roman" w:cs="Times New Roman"/>
        </w:rPr>
        <w:t>.</w:t>
      </w:r>
    </w:p>
  </w:footnote>
  <w:footnote w:id="42">
    <w:p w:rsidR="00143F71" w:rsidRPr="00143F71" w:rsidRDefault="00143F71">
      <w:pPr>
        <w:pStyle w:val="FootnoteText"/>
        <w:rPr>
          <w:rFonts w:ascii="Times New Roman" w:hAnsi="Times New Roman" w:cs="Times New Roman"/>
        </w:rPr>
      </w:pPr>
      <w:r w:rsidRPr="00143F71">
        <w:rPr>
          <w:rStyle w:val="FootnoteReference"/>
          <w:rFonts w:ascii="Times New Roman" w:hAnsi="Times New Roman" w:cs="Times New Roman"/>
        </w:rPr>
        <w:footnoteRef/>
      </w:r>
      <w:r w:rsidRPr="00143F71">
        <w:rPr>
          <w:rFonts w:ascii="Times New Roman" w:hAnsi="Times New Roman" w:cs="Times New Roman"/>
        </w:rPr>
        <w:t xml:space="preserve"> </w:t>
      </w:r>
      <w:r w:rsidRPr="00143F71">
        <w:rPr>
          <w:rFonts w:ascii="Times New Roman" w:hAnsi="Times New Roman" w:cs="Times New Roman"/>
          <w:i/>
        </w:rPr>
        <w:t>Id</w:t>
      </w:r>
      <w:r w:rsidRPr="00143F71">
        <w:rPr>
          <w:rFonts w:ascii="Times New Roman" w:hAnsi="Times New Roman" w:cs="Times New Roman"/>
        </w:rPr>
        <w:t>.</w:t>
      </w:r>
    </w:p>
  </w:footnote>
  <w:footnote w:id="43">
    <w:p w:rsidR="00263C4C" w:rsidRPr="00263C4C" w:rsidRDefault="00C078BB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313D0">
        <w:rPr>
          <w:rFonts w:ascii="Times New Roman" w:hAnsi="Times New Roman" w:cs="Times New Roman"/>
          <w:i/>
        </w:rPr>
        <w:t>Pfeifer v. McLaughlin</w:t>
      </w:r>
      <w:r>
        <w:rPr>
          <w:rFonts w:ascii="Times New Roman" w:hAnsi="Times New Roman" w:cs="Times New Roman"/>
        </w:rPr>
        <w:t>, 2018 WL 4167334 at *2</w:t>
      </w:r>
      <w:r w:rsidR="00DC1287">
        <w:rPr>
          <w:rFonts w:ascii="Times New Roman" w:hAnsi="Times New Roman" w:cs="Times New Roman"/>
        </w:rPr>
        <w:t xml:space="preserve"> (App. Div. 2018) (At this point in the case, Michael Pfeifer had passed away and his wife continued l</w:t>
      </w:r>
      <w:r w:rsidR="00263C4C">
        <w:rPr>
          <w:rFonts w:ascii="Times New Roman" w:hAnsi="Times New Roman" w:cs="Times New Roman"/>
        </w:rPr>
        <w:t>itigating the foreclosure action).</w:t>
      </w:r>
    </w:p>
  </w:footnote>
  <w:footnote w:id="44">
    <w:p w:rsidR="00FB5688" w:rsidRPr="00FB5688" w:rsidRDefault="00FB5688">
      <w:pPr>
        <w:pStyle w:val="FootnoteText"/>
        <w:rPr>
          <w:rFonts w:ascii="Times New Roman" w:hAnsi="Times New Roman" w:cs="Times New Roman"/>
        </w:rPr>
      </w:pPr>
      <w:r w:rsidRPr="00FB5688">
        <w:rPr>
          <w:rStyle w:val="FootnoteReference"/>
          <w:rFonts w:ascii="Times New Roman" w:hAnsi="Times New Roman" w:cs="Times New Roman"/>
        </w:rPr>
        <w:footnoteRef/>
      </w:r>
      <w:r w:rsidRPr="00FB5688">
        <w:rPr>
          <w:rFonts w:ascii="Times New Roman" w:hAnsi="Times New Roman" w:cs="Times New Roman"/>
        </w:rPr>
        <w:t xml:space="preserve"> </w:t>
      </w:r>
      <w:r w:rsidRPr="00FB5688">
        <w:rPr>
          <w:rFonts w:ascii="Times New Roman" w:hAnsi="Times New Roman" w:cs="Times New Roman"/>
          <w:i/>
        </w:rPr>
        <w:t>Id</w:t>
      </w:r>
      <w:r w:rsidRPr="00FB5688">
        <w:rPr>
          <w:rFonts w:ascii="Times New Roman" w:hAnsi="Times New Roman" w:cs="Times New Roman"/>
        </w:rPr>
        <w:t>.</w:t>
      </w:r>
    </w:p>
  </w:footnote>
  <w:footnote w:id="45">
    <w:p w:rsidR="00990431" w:rsidRPr="00990431" w:rsidRDefault="00990431">
      <w:pPr>
        <w:pStyle w:val="FootnoteText"/>
        <w:rPr>
          <w:rFonts w:ascii="Times New Roman" w:hAnsi="Times New Roman" w:cs="Times New Roman"/>
        </w:rPr>
      </w:pPr>
      <w:r w:rsidRPr="00990431">
        <w:rPr>
          <w:rStyle w:val="FootnoteReference"/>
          <w:rFonts w:ascii="Times New Roman" w:hAnsi="Times New Roman" w:cs="Times New Roman"/>
        </w:rPr>
        <w:footnoteRef/>
      </w:r>
      <w:r w:rsidRPr="00990431">
        <w:rPr>
          <w:rFonts w:ascii="Times New Roman" w:hAnsi="Times New Roman" w:cs="Times New Roman"/>
        </w:rPr>
        <w:t xml:space="preserve"> </w:t>
      </w:r>
      <w:r w:rsidRPr="00990431">
        <w:rPr>
          <w:rFonts w:ascii="Times New Roman" w:hAnsi="Times New Roman" w:cs="Times New Roman"/>
          <w:i/>
        </w:rPr>
        <w:t>Id</w:t>
      </w:r>
      <w:r w:rsidRPr="00990431">
        <w:rPr>
          <w:rFonts w:ascii="Times New Roman" w:hAnsi="Times New Roman" w:cs="Times New Roman"/>
        </w:rPr>
        <w:t>. at *3.</w:t>
      </w:r>
    </w:p>
  </w:footnote>
  <w:footnote w:id="46">
    <w:p w:rsidR="00DF33AA" w:rsidRPr="00DF33AA" w:rsidRDefault="00DF33AA">
      <w:pPr>
        <w:pStyle w:val="FootnoteText"/>
        <w:rPr>
          <w:rFonts w:ascii="Times New Roman" w:hAnsi="Times New Roman" w:cs="Times New Roman"/>
        </w:rPr>
      </w:pPr>
      <w:r w:rsidRPr="00DF33AA">
        <w:rPr>
          <w:rStyle w:val="FootnoteReference"/>
          <w:rFonts w:ascii="Times New Roman" w:hAnsi="Times New Roman" w:cs="Times New Roman"/>
        </w:rPr>
        <w:footnoteRef/>
      </w:r>
      <w:r w:rsidRPr="00DF33AA">
        <w:rPr>
          <w:rFonts w:ascii="Times New Roman" w:hAnsi="Times New Roman" w:cs="Times New Roman"/>
        </w:rPr>
        <w:t xml:space="preserve"> </w:t>
      </w:r>
      <w:r w:rsidRPr="00DF33AA">
        <w:rPr>
          <w:rFonts w:ascii="Times New Roman" w:hAnsi="Times New Roman" w:cs="Times New Roman"/>
          <w:i/>
        </w:rPr>
        <w:t>Id</w:t>
      </w:r>
      <w:r w:rsidRPr="00DF33AA">
        <w:rPr>
          <w:rFonts w:ascii="Times New Roman" w:hAnsi="Times New Roman" w:cs="Times New Roman"/>
        </w:rPr>
        <w:t>.</w:t>
      </w:r>
    </w:p>
  </w:footnote>
  <w:footnote w:id="47">
    <w:p w:rsidR="003205BB" w:rsidRPr="003205BB" w:rsidRDefault="003205BB">
      <w:pPr>
        <w:pStyle w:val="FootnoteText"/>
        <w:rPr>
          <w:rFonts w:ascii="Times New Roman" w:hAnsi="Times New Roman" w:cs="Times New Roman"/>
        </w:rPr>
      </w:pPr>
      <w:r w:rsidRPr="003205BB">
        <w:rPr>
          <w:rStyle w:val="FootnoteReference"/>
          <w:rFonts w:ascii="Times New Roman" w:hAnsi="Times New Roman" w:cs="Times New Roman"/>
        </w:rPr>
        <w:footnoteRef/>
      </w:r>
      <w:r w:rsidRPr="003205BB">
        <w:rPr>
          <w:rFonts w:ascii="Times New Roman" w:hAnsi="Times New Roman" w:cs="Times New Roman"/>
        </w:rPr>
        <w:t xml:space="preserve"> </w:t>
      </w:r>
      <w:r w:rsidRPr="003205BB">
        <w:rPr>
          <w:rFonts w:ascii="Times New Roman" w:hAnsi="Times New Roman" w:cs="Times New Roman"/>
          <w:i/>
        </w:rPr>
        <w:t>Id</w:t>
      </w:r>
      <w:r w:rsidRPr="003205BB">
        <w:rPr>
          <w:rFonts w:ascii="Times New Roman" w:hAnsi="Times New Roman" w:cs="Times New Roman"/>
        </w:rPr>
        <w:t>.</w:t>
      </w:r>
    </w:p>
  </w:footnote>
  <w:footnote w:id="48">
    <w:p w:rsidR="003E6562" w:rsidRDefault="003E6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3D53" w:rsidRPr="009109CA">
        <w:rPr>
          <w:rFonts w:ascii="Times New Roman" w:hAnsi="Times New Roman" w:cs="Times New Roman"/>
          <w:i/>
        </w:rPr>
        <w:t>Pfeifer v. McLaughlin</w:t>
      </w:r>
      <w:r w:rsidR="00773D53">
        <w:rPr>
          <w:rFonts w:ascii="Times New Roman" w:hAnsi="Times New Roman" w:cs="Times New Roman"/>
        </w:rPr>
        <w:t>, 2018 WL 4167334 at *4</w:t>
      </w:r>
      <w:r w:rsidR="00773D53" w:rsidRPr="009109CA">
        <w:rPr>
          <w:rFonts w:ascii="Times New Roman" w:hAnsi="Times New Roman" w:cs="Times New Roman"/>
        </w:rPr>
        <w:t xml:space="preserve"> (App. Div. 2018).</w:t>
      </w:r>
    </w:p>
  </w:footnote>
  <w:footnote w:id="49">
    <w:p w:rsidR="009109CA" w:rsidRPr="009C5465" w:rsidRDefault="009109CA">
      <w:pPr>
        <w:pStyle w:val="FootnoteText"/>
        <w:rPr>
          <w:rFonts w:ascii="Times New Roman" w:hAnsi="Times New Roman" w:cs="Times New Roman"/>
        </w:rPr>
      </w:pPr>
      <w:r w:rsidRPr="009109CA">
        <w:rPr>
          <w:rStyle w:val="FootnoteReference"/>
          <w:rFonts w:ascii="Times New Roman" w:hAnsi="Times New Roman" w:cs="Times New Roman"/>
        </w:rPr>
        <w:footnoteRef/>
      </w:r>
      <w:r w:rsidRPr="009109CA">
        <w:rPr>
          <w:rFonts w:ascii="Times New Roman" w:hAnsi="Times New Roman" w:cs="Times New Roman"/>
        </w:rPr>
        <w:t xml:space="preserve"> </w:t>
      </w:r>
      <w:r w:rsidR="009C5465">
        <w:rPr>
          <w:rFonts w:ascii="Times New Roman" w:hAnsi="Times New Roman" w:cs="Times New Roman"/>
          <w:i/>
        </w:rPr>
        <w:t>Id</w:t>
      </w:r>
      <w:r w:rsidR="009C5465">
        <w:rPr>
          <w:rFonts w:ascii="Times New Roman" w:hAnsi="Times New Roman" w:cs="Times New Roman"/>
        </w:rPr>
        <w:t>.</w:t>
      </w:r>
    </w:p>
  </w:footnote>
  <w:footnote w:id="50">
    <w:p w:rsidR="00466676" w:rsidRPr="00466676" w:rsidRDefault="00466676">
      <w:pPr>
        <w:pStyle w:val="FootnoteText"/>
        <w:rPr>
          <w:rFonts w:ascii="Times New Roman" w:hAnsi="Times New Roman" w:cs="Times New Roman"/>
          <w:i/>
        </w:rPr>
      </w:pPr>
      <w:r w:rsidRPr="00466676">
        <w:rPr>
          <w:rStyle w:val="FootnoteReference"/>
          <w:rFonts w:ascii="Times New Roman" w:hAnsi="Times New Roman" w:cs="Times New Roman"/>
        </w:rPr>
        <w:footnoteRef/>
      </w:r>
      <w:r w:rsidRPr="00466676">
        <w:rPr>
          <w:rFonts w:ascii="Times New Roman" w:hAnsi="Times New Roman" w:cs="Times New Roman"/>
        </w:rPr>
        <w:t xml:space="preserve"> </w:t>
      </w:r>
      <w:r w:rsidRPr="00466676">
        <w:rPr>
          <w:rFonts w:ascii="Times New Roman" w:hAnsi="Times New Roman" w:cs="Times New Roman"/>
          <w:i/>
        </w:rPr>
        <w:t>Id</w:t>
      </w:r>
      <w:r w:rsidR="00B216F6">
        <w:rPr>
          <w:rFonts w:ascii="Times New Roman" w:hAnsi="Times New Roman" w:cs="Times New Roman"/>
          <w:i/>
        </w:rPr>
        <w:t>.</w:t>
      </w:r>
    </w:p>
  </w:footnote>
  <w:footnote w:id="51">
    <w:p w:rsidR="00DC3373" w:rsidRPr="00E575EB" w:rsidRDefault="00DC3373">
      <w:pPr>
        <w:pStyle w:val="FootnoteText"/>
        <w:rPr>
          <w:rFonts w:ascii="Times New Roman" w:hAnsi="Times New Roman" w:cs="Times New Roman"/>
        </w:rPr>
      </w:pPr>
      <w:r w:rsidRPr="00E575EB">
        <w:rPr>
          <w:rStyle w:val="FootnoteReference"/>
          <w:rFonts w:ascii="Times New Roman" w:hAnsi="Times New Roman" w:cs="Times New Roman"/>
        </w:rPr>
        <w:footnoteRef/>
      </w:r>
      <w:r w:rsidRPr="00E575EB">
        <w:rPr>
          <w:rFonts w:ascii="Times New Roman" w:hAnsi="Times New Roman" w:cs="Times New Roman"/>
        </w:rPr>
        <w:t xml:space="preserve"> </w:t>
      </w:r>
      <w:r w:rsidR="00E575EB" w:rsidRPr="00E575EB">
        <w:rPr>
          <w:rFonts w:ascii="Times New Roman" w:hAnsi="Times New Roman" w:cs="Times New Roman"/>
          <w:i/>
        </w:rPr>
        <w:t>Id</w:t>
      </w:r>
      <w:r w:rsidR="00E575EB" w:rsidRPr="00E575EB">
        <w:rPr>
          <w:rFonts w:ascii="Times New Roman" w:hAnsi="Times New Roman" w:cs="Times New Roman"/>
        </w:rPr>
        <w:t>.</w:t>
      </w:r>
    </w:p>
  </w:footnote>
  <w:footnote w:id="52">
    <w:p w:rsidR="00285210" w:rsidRPr="00285210" w:rsidRDefault="00285210">
      <w:pPr>
        <w:pStyle w:val="FootnoteText"/>
        <w:rPr>
          <w:rFonts w:ascii="Times New Roman" w:hAnsi="Times New Roman" w:cs="Times New Roman"/>
        </w:rPr>
      </w:pPr>
      <w:r w:rsidRPr="00285210">
        <w:rPr>
          <w:rStyle w:val="FootnoteReference"/>
          <w:rFonts w:ascii="Times New Roman" w:hAnsi="Times New Roman" w:cs="Times New Roman"/>
        </w:rPr>
        <w:footnoteRef/>
      </w:r>
      <w:r w:rsidRPr="00285210">
        <w:rPr>
          <w:rFonts w:ascii="Times New Roman" w:hAnsi="Times New Roman" w:cs="Times New Roman"/>
        </w:rPr>
        <w:t xml:space="preserve"> </w:t>
      </w:r>
      <w:r w:rsidRPr="00285210">
        <w:rPr>
          <w:rFonts w:ascii="Times New Roman" w:hAnsi="Times New Roman" w:cs="Times New Roman"/>
          <w:i/>
        </w:rPr>
        <w:t>Id</w:t>
      </w:r>
      <w:r w:rsidRPr="00285210">
        <w:rPr>
          <w:rFonts w:ascii="Times New Roman" w:hAnsi="Times New Roman" w:cs="Times New Roman"/>
        </w:rPr>
        <w:t>.</w:t>
      </w:r>
    </w:p>
  </w:footnote>
  <w:footnote w:id="53">
    <w:p w:rsidR="0095492E" w:rsidRDefault="00954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09CA">
        <w:rPr>
          <w:rFonts w:ascii="Times New Roman" w:hAnsi="Times New Roman" w:cs="Times New Roman"/>
          <w:i/>
        </w:rPr>
        <w:t>Pfeifer v. McLaughlin</w:t>
      </w:r>
      <w:r>
        <w:rPr>
          <w:rFonts w:ascii="Times New Roman" w:hAnsi="Times New Roman" w:cs="Times New Roman"/>
        </w:rPr>
        <w:t>, 2018 WL 4167334 at *4</w:t>
      </w:r>
      <w:r w:rsidRPr="009109CA">
        <w:rPr>
          <w:rFonts w:ascii="Times New Roman" w:hAnsi="Times New Roman" w:cs="Times New Roman"/>
        </w:rPr>
        <w:t xml:space="preserve"> (App. Div. 2018).</w:t>
      </w:r>
    </w:p>
  </w:footnote>
  <w:footnote w:id="54">
    <w:p w:rsidR="0095492E" w:rsidRPr="0095492E" w:rsidRDefault="0095492E">
      <w:pPr>
        <w:pStyle w:val="FootnoteText"/>
        <w:rPr>
          <w:rFonts w:ascii="Times New Roman" w:hAnsi="Times New Roman" w:cs="Times New Roman"/>
        </w:rPr>
      </w:pPr>
      <w:r w:rsidRPr="0095492E">
        <w:rPr>
          <w:rStyle w:val="FootnoteReference"/>
          <w:rFonts w:ascii="Times New Roman" w:hAnsi="Times New Roman" w:cs="Times New Roman"/>
        </w:rPr>
        <w:footnoteRef/>
      </w:r>
      <w:r w:rsidRPr="0095492E">
        <w:rPr>
          <w:rFonts w:ascii="Times New Roman" w:hAnsi="Times New Roman" w:cs="Times New Roman"/>
        </w:rPr>
        <w:t xml:space="preserve"> </w:t>
      </w:r>
      <w:r w:rsidRPr="0095492E">
        <w:rPr>
          <w:rFonts w:ascii="Times New Roman" w:hAnsi="Times New Roman" w:cs="Times New Roman"/>
          <w:i/>
        </w:rPr>
        <w:t>Id</w:t>
      </w:r>
      <w:r w:rsidRPr="0095492E">
        <w:rPr>
          <w:rFonts w:ascii="Times New Roman" w:hAnsi="Times New Roman" w:cs="Times New Roman"/>
        </w:rPr>
        <w:t>.</w:t>
      </w:r>
    </w:p>
  </w:footnote>
  <w:footnote w:id="55">
    <w:p w:rsidR="00467CF4" w:rsidRPr="00467CF4" w:rsidRDefault="00467CF4">
      <w:pPr>
        <w:pStyle w:val="FootnoteText"/>
        <w:rPr>
          <w:rFonts w:ascii="Times New Roman" w:hAnsi="Times New Roman" w:cs="Times New Roman"/>
        </w:rPr>
      </w:pPr>
      <w:r w:rsidRPr="00467CF4">
        <w:rPr>
          <w:rStyle w:val="FootnoteReference"/>
          <w:rFonts w:ascii="Times New Roman" w:hAnsi="Times New Roman" w:cs="Times New Roman"/>
        </w:rPr>
        <w:footnoteRef/>
      </w:r>
      <w:r w:rsidRPr="00467CF4">
        <w:rPr>
          <w:rFonts w:ascii="Times New Roman" w:hAnsi="Times New Roman" w:cs="Times New Roman"/>
        </w:rPr>
        <w:t xml:space="preserve"> </w:t>
      </w:r>
      <w:r w:rsidRPr="00467CF4">
        <w:rPr>
          <w:rFonts w:ascii="Times New Roman" w:hAnsi="Times New Roman" w:cs="Times New Roman"/>
          <w:i/>
        </w:rPr>
        <w:t>Id</w:t>
      </w:r>
      <w:r w:rsidRPr="00467CF4">
        <w:rPr>
          <w:rFonts w:ascii="Times New Roman" w:hAnsi="Times New Roman" w:cs="Times New Roman"/>
        </w:rPr>
        <w:t>. at *5.</w:t>
      </w:r>
    </w:p>
  </w:footnote>
  <w:footnote w:id="56">
    <w:p w:rsidR="00A16EBB" w:rsidRPr="00A16EBB" w:rsidRDefault="00A16EBB">
      <w:pPr>
        <w:pStyle w:val="FootnoteText"/>
        <w:rPr>
          <w:rFonts w:ascii="Times New Roman" w:hAnsi="Times New Roman" w:cs="Times New Roman"/>
        </w:rPr>
      </w:pPr>
      <w:r w:rsidRPr="00A16EBB">
        <w:rPr>
          <w:rStyle w:val="FootnoteReference"/>
          <w:rFonts w:ascii="Times New Roman" w:hAnsi="Times New Roman" w:cs="Times New Roman"/>
        </w:rPr>
        <w:footnoteRef/>
      </w:r>
      <w:r w:rsidRPr="00A16EBB">
        <w:rPr>
          <w:rFonts w:ascii="Times New Roman" w:hAnsi="Times New Roman" w:cs="Times New Roman"/>
        </w:rPr>
        <w:t xml:space="preserve"> </w:t>
      </w:r>
      <w:r w:rsidRPr="00A16EBB">
        <w:rPr>
          <w:rFonts w:ascii="Times New Roman" w:hAnsi="Times New Roman" w:cs="Times New Roman"/>
          <w:i/>
        </w:rPr>
        <w:t>Id</w:t>
      </w:r>
      <w:r w:rsidRPr="00A16EBB">
        <w:rPr>
          <w:rFonts w:ascii="Times New Roman" w:hAnsi="Times New Roman" w:cs="Times New Roman"/>
        </w:rPr>
        <w:t xml:space="preserve">. </w:t>
      </w:r>
    </w:p>
  </w:footnote>
  <w:footnote w:id="57">
    <w:p w:rsidR="00A73AA6" w:rsidRPr="00A73AA6" w:rsidRDefault="00A73AA6">
      <w:pPr>
        <w:pStyle w:val="FootnoteText"/>
        <w:rPr>
          <w:rFonts w:ascii="Times New Roman" w:hAnsi="Times New Roman" w:cs="Times New Roman"/>
        </w:rPr>
      </w:pPr>
      <w:r w:rsidRPr="00A73AA6">
        <w:rPr>
          <w:rStyle w:val="FootnoteReference"/>
          <w:rFonts w:ascii="Times New Roman" w:hAnsi="Times New Roman" w:cs="Times New Roman"/>
        </w:rPr>
        <w:footnoteRef/>
      </w:r>
      <w:r w:rsidRPr="00A73AA6">
        <w:rPr>
          <w:rFonts w:ascii="Times New Roman" w:hAnsi="Times New Roman" w:cs="Times New Roman"/>
        </w:rPr>
        <w:t xml:space="preserve"> </w:t>
      </w:r>
      <w:r w:rsidRPr="00A73AA6">
        <w:rPr>
          <w:rFonts w:ascii="Times New Roman" w:hAnsi="Times New Roman" w:cs="Times New Roman"/>
          <w:i/>
        </w:rPr>
        <w:t>Id</w:t>
      </w:r>
      <w:r w:rsidRPr="00A73A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Citing Gibbons v. Gibbons</w:t>
      </w:r>
      <w:r>
        <w:rPr>
          <w:rFonts w:ascii="Times New Roman" w:hAnsi="Times New Roman" w:cs="Times New Roman"/>
        </w:rPr>
        <w:t>, 86 N.J. 515, 521 (1981)).</w:t>
      </w:r>
    </w:p>
  </w:footnote>
  <w:footnote w:id="58">
    <w:p w:rsidR="00270FD8" w:rsidRPr="00D83642" w:rsidRDefault="00270F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09CA">
        <w:rPr>
          <w:rFonts w:ascii="Times New Roman" w:hAnsi="Times New Roman" w:cs="Times New Roman"/>
          <w:i/>
        </w:rPr>
        <w:t>Pfeifer v. McLaughlin</w:t>
      </w:r>
      <w:r>
        <w:rPr>
          <w:rFonts w:ascii="Times New Roman" w:hAnsi="Times New Roman" w:cs="Times New Roman"/>
        </w:rPr>
        <w:t>, 2018 WL 4167334 at *5</w:t>
      </w:r>
      <w:r w:rsidRPr="009109CA">
        <w:rPr>
          <w:rFonts w:ascii="Times New Roman" w:hAnsi="Times New Roman" w:cs="Times New Roman"/>
        </w:rPr>
        <w:t xml:space="preserve"> (App. Div. 2018)</w:t>
      </w:r>
      <w:r w:rsidR="00D83642">
        <w:rPr>
          <w:rFonts w:ascii="Times New Roman" w:hAnsi="Times New Roman" w:cs="Times New Roman"/>
        </w:rPr>
        <w:t xml:space="preserve"> (</w:t>
      </w:r>
      <w:r w:rsidR="00D83642">
        <w:rPr>
          <w:rFonts w:ascii="Times New Roman" w:hAnsi="Times New Roman" w:cs="Times New Roman"/>
          <w:i/>
        </w:rPr>
        <w:t>Citing In re D.C.</w:t>
      </w:r>
      <w:r w:rsidR="00D83642">
        <w:rPr>
          <w:rFonts w:ascii="Times New Roman" w:hAnsi="Times New Roman" w:cs="Times New Roman"/>
        </w:rPr>
        <w:t>, 146 N.J. 31, 50 (1996)).</w:t>
      </w:r>
    </w:p>
  </w:footnote>
  <w:footnote w:id="59">
    <w:p w:rsidR="0042067E" w:rsidRPr="0042067E" w:rsidRDefault="0042067E">
      <w:pPr>
        <w:pStyle w:val="FootnoteText"/>
        <w:rPr>
          <w:rFonts w:ascii="Times New Roman" w:hAnsi="Times New Roman" w:cs="Times New Roman"/>
        </w:rPr>
      </w:pPr>
      <w:r w:rsidRPr="0042067E">
        <w:rPr>
          <w:rStyle w:val="FootnoteReference"/>
          <w:rFonts w:ascii="Times New Roman" w:hAnsi="Times New Roman" w:cs="Times New Roman"/>
        </w:rPr>
        <w:footnoteRef/>
      </w:r>
      <w:r w:rsidRPr="0042067E">
        <w:rPr>
          <w:rFonts w:ascii="Times New Roman" w:hAnsi="Times New Roman" w:cs="Times New Roman"/>
        </w:rPr>
        <w:t xml:space="preserve"> </w:t>
      </w:r>
      <w:r w:rsidRPr="0042067E">
        <w:rPr>
          <w:rFonts w:ascii="Times New Roman" w:hAnsi="Times New Roman" w:cs="Times New Roman"/>
          <w:i/>
        </w:rPr>
        <w:t>Id</w:t>
      </w:r>
      <w:r w:rsidRPr="0042067E">
        <w:rPr>
          <w:rFonts w:ascii="Times New Roman" w:hAnsi="Times New Roman" w:cs="Times New Roman"/>
        </w:rPr>
        <w:t>.</w:t>
      </w:r>
    </w:p>
  </w:footnote>
  <w:footnote w:id="60">
    <w:p w:rsidR="00773F06" w:rsidRPr="00773F06" w:rsidRDefault="00773F06">
      <w:pPr>
        <w:pStyle w:val="FootnoteText"/>
        <w:rPr>
          <w:rFonts w:ascii="Times New Roman" w:hAnsi="Times New Roman" w:cs="Times New Roman"/>
        </w:rPr>
      </w:pPr>
      <w:r w:rsidRPr="00773F06">
        <w:rPr>
          <w:rStyle w:val="FootnoteReference"/>
          <w:rFonts w:ascii="Times New Roman" w:hAnsi="Times New Roman" w:cs="Times New Roman"/>
        </w:rPr>
        <w:footnoteRef/>
      </w:r>
      <w:r w:rsidRPr="00773F06">
        <w:rPr>
          <w:rFonts w:ascii="Times New Roman" w:hAnsi="Times New Roman" w:cs="Times New Roman"/>
        </w:rPr>
        <w:t xml:space="preserve"> </w:t>
      </w:r>
      <w:r w:rsidRPr="00773F06">
        <w:rPr>
          <w:rFonts w:ascii="Times New Roman" w:hAnsi="Times New Roman" w:cs="Times New Roman"/>
          <w:i/>
        </w:rPr>
        <w:t>Id</w:t>
      </w:r>
      <w:r w:rsidRPr="00773F06">
        <w:rPr>
          <w:rFonts w:ascii="Times New Roman" w:hAnsi="Times New Roman" w:cs="Times New Roman"/>
        </w:rPr>
        <w:t>.</w:t>
      </w:r>
    </w:p>
  </w:footnote>
  <w:footnote w:id="61">
    <w:p w:rsidR="00AC2030" w:rsidRPr="00AC2030" w:rsidRDefault="00AC2030">
      <w:pPr>
        <w:pStyle w:val="FootnoteText"/>
        <w:rPr>
          <w:rFonts w:ascii="Times New Roman" w:hAnsi="Times New Roman" w:cs="Times New Roman"/>
        </w:rPr>
      </w:pPr>
      <w:r w:rsidRPr="00AC2030">
        <w:rPr>
          <w:rStyle w:val="FootnoteReference"/>
          <w:rFonts w:ascii="Times New Roman" w:hAnsi="Times New Roman" w:cs="Times New Roman"/>
        </w:rPr>
        <w:footnoteRef/>
      </w:r>
      <w:r w:rsidRPr="00AC2030">
        <w:rPr>
          <w:rFonts w:ascii="Times New Roman" w:hAnsi="Times New Roman" w:cs="Times New Roman"/>
        </w:rPr>
        <w:t xml:space="preserve"> </w:t>
      </w:r>
      <w:r w:rsidRPr="00AC2030">
        <w:rPr>
          <w:rFonts w:ascii="Times New Roman" w:hAnsi="Times New Roman" w:cs="Times New Roman"/>
          <w:i/>
        </w:rPr>
        <w:t>Id</w:t>
      </w:r>
      <w:r w:rsidRPr="00AC2030">
        <w:rPr>
          <w:rFonts w:ascii="Times New Roman" w:hAnsi="Times New Roman" w:cs="Times New Roman"/>
        </w:rPr>
        <w:t>.</w:t>
      </w:r>
    </w:p>
  </w:footnote>
  <w:footnote w:id="62">
    <w:p w:rsidR="00C87D0E" w:rsidRPr="00C87D0E" w:rsidRDefault="00C87D0E">
      <w:pPr>
        <w:pStyle w:val="FootnoteText"/>
        <w:rPr>
          <w:rFonts w:ascii="Times New Roman" w:hAnsi="Times New Roman" w:cs="Times New Roman"/>
        </w:rPr>
      </w:pPr>
      <w:r w:rsidRPr="00C87D0E">
        <w:rPr>
          <w:rStyle w:val="FootnoteReference"/>
          <w:rFonts w:ascii="Times New Roman" w:hAnsi="Times New Roman" w:cs="Times New Roman"/>
        </w:rPr>
        <w:footnoteRef/>
      </w:r>
      <w:r w:rsidRPr="00C87D0E">
        <w:rPr>
          <w:rFonts w:ascii="Times New Roman" w:hAnsi="Times New Roman" w:cs="Times New Roman"/>
        </w:rPr>
        <w:t xml:space="preserve"> </w:t>
      </w:r>
      <w:r w:rsidRPr="00C87D0E">
        <w:rPr>
          <w:rFonts w:ascii="Times New Roman" w:hAnsi="Times New Roman" w:cs="Times New Roman"/>
          <w:i/>
        </w:rPr>
        <w:t>Id</w:t>
      </w:r>
      <w:r w:rsidRPr="00C87D0E">
        <w:rPr>
          <w:rFonts w:ascii="Times New Roman" w:hAnsi="Times New Roman" w:cs="Times New Roman"/>
        </w:rPr>
        <w:t>.</w:t>
      </w:r>
    </w:p>
  </w:footnote>
  <w:footnote w:id="63">
    <w:p w:rsidR="00541F37" w:rsidRPr="00930487" w:rsidRDefault="00541F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7773946"/>
      <w:r w:rsidRPr="00541F37">
        <w:rPr>
          <w:rFonts w:ascii="Times New Roman" w:hAnsi="Times New Roman" w:cs="Times New Roman"/>
          <w:i/>
        </w:rPr>
        <w:t>Pfeifer v. McLaughlin</w:t>
      </w:r>
      <w:r w:rsidRPr="00541F37">
        <w:rPr>
          <w:rFonts w:ascii="Times New Roman" w:hAnsi="Times New Roman" w:cs="Times New Roman"/>
        </w:rPr>
        <w:t>, 2018 WL 4167334 at *5 (App. Div. August 31, 2018)</w:t>
      </w:r>
      <w:r w:rsidR="00930487">
        <w:rPr>
          <w:rFonts w:ascii="Times New Roman" w:hAnsi="Times New Roman" w:cs="Times New Roman"/>
        </w:rPr>
        <w:t xml:space="preserve"> </w:t>
      </w:r>
      <w:bookmarkEnd w:id="1"/>
      <w:r w:rsidR="00930487">
        <w:rPr>
          <w:rFonts w:ascii="Times New Roman" w:hAnsi="Times New Roman" w:cs="Times New Roman"/>
        </w:rPr>
        <w:t>(</w:t>
      </w:r>
      <w:r w:rsidR="00930487">
        <w:rPr>
          <w:rFonts w:ascii="Times New Roman" w:hAnsi="Times New Roman" w:cs="Times New Roman"/>
          <w:i/>
        </w:rPr>
        <w:t xml:space="preserve">Citing </w:t>
      </w:r>
      <w:proofErr w:type="spellStart"/>
      <w:r w:rsidR="00930487">
        <w:rPr>
          <w:rFonts w:ascii="Times New Roman" w:hAnsi="Times New Roman" w:cs="Times New Roman"/>
          <w:i/>
        </w:rPr>
        <w:t>Maeker</w:t>
      </w:r>
      <w:proofErr w:type="spellEnd"/>
      <w:r w:rsidR="00930487">
        <w:rPr>
          <w:rFonts w:ascii="Times New Roman" w:hAnsi="Times New Roman" w:cs="Times New Roman"/>
          <w:i/>
        </w:rPr>
        <w:t xml:space="preserve"> v. Ross</w:t>
      </w:r>
      <w:r w:rsidR="00930487">
        <w:rPr>
          <w:rFonts w:ascii="Times New Roman" w:hAnsi="Times New Roman" w:cs="Times New Roman"/>
        </w:rPr>
        <w:t>, 219 N.J. 565, 578 (2004)).</w:t>
      </w:r>
    </w:p>
  </w:footnote>
  <w:footnote w:id="64">
    <w:p w:rsidR="008E6C6A" w:rsidRPr="00805241" w:rsidRDefault="008E6C6A">
      <w:pPr>
        <w:pStyle w:val="FootnoteText"/>
        <w:rPr>
          <w:rFonts w:ascii="Times New Roman" w:hAnsi="Times New Roman" w:cs="Times New Roman"/>
        </w:rPr>
      </w:pPr>
      <w:r w:rsidRPr="008E6C6A">
        <w:rPr>
          <w:rStyle w:val="FootnoteReference"/>
          <w:rFonts w:ascii="Times New Roman" w:hAnsi="Times New Roman" w:cs="Times New Roman"/>
        </w:rPr>
        <w:footnoteRef/>
      </w:r>
      <w:r w:rsidRPr="008E6C6A">
        <w:rPr>
          <w:rFonts w:ascii="Times New Roman" w:hAnsi="Times New Roman" w:cs="Times New Roman"/>
        </w:rPr>
        <w:t xml:space="preserve"> </w:t>
      </w:r>
      <w:r w:rsidRPr="008E6C6A">
        <w:rPr>
          <w:rFonts w:ascii="Times New Roman" w:hAnsi="Times New Roman" w:cs="Times New Roman"/>
          <w:i/>
        </w:rPr>
        <w:t>Id</w:t>
      </w:r>
      <w:r w:rsidRPr="008E6C6A">
        <w:rPr>
          <w:rFonts w:ascii="Times New Roman" w:hAnsi="Times New Roman" w:cs="Times New Roman"/>
        </w:rPr>
        <w:t>.</w:t>
      </w:r>
      <w:r w:rsidR="00805241">
        <w:rPr>
          <w:rFonts w:ascii="Times New Roman" w:hAnsi="Times New Roman" w:cs="Times New Roman"/>
        </w:rPr>
        <w:t xml:space="preserve"> (</w:t>
      </w:r>
      <w:r w:rsidR="00805241">
        <w:rPr>
          <w:rFonts w:ascii="Times New Roman" w:hAnsi="Times New Roman" w:cs="Times New Roman"/>
          <w:i/>
        </w:rPr>
        <w:t>Quoting Johnson v. Roselle EZ Quick, LLC</w:t>
      </w:r>
      <w:r w:rsidR="00805241">
        <w:rPr>
          <w:rFonts w:ascii="Times New Roman" w:hAnsi="Times New Roman" w:cs="Times New Roman"/>
        </w:rPr>
        <w:t>, 226 N.J. 370, 388 (2016).</w:t>
      </w:r>
    </w:p>
  </w:footnote>
  <w:footnote w:id="65">
    <w:p w:rsidR="00CF783C" w:rsidRPr="00CF783C" w:rsidRDefault="00CF783C">
      <w:pPr>
        <w:pStyle w:val="FootnoteText"/>
        <w:rPr>
          <w:rFonts w:ascii="Times New Roman" w:hAnsi="Times New Roman" w:cs="Times New Roman"/>
        </w:rPr>
      </w:pPr>
      <w:r w:rsidRPr="00CF783C">
        <w:rPr>
          <w:rStyle w:val="FootnoteReference"/>
          <w:rFonts w:ascii="Times New Roman" w:hAnsi="Times New Roman" w:cs="Times New Roman"/>
        </w:rPr>
        <w:footnoteRef/>
      </w:r>
      <w:r w:rsidRPr="00CF783C">
        <w:rPr>
          <w:rFonts w:ascii="Times New Roman" w:hAnsi="Times New Roman" w:cs="Times New Roman"/>
        </w:rPr>
        <w:t xml:space="preserve"> </w:t>
      </w:r>
      <w:r w:rsidRPr="00CF783C">
        <w:rPr>
          <w:rFonts w:ascii="Times New Roman" w:hAnsi="Times New Roman" w:cs="Times New Roman"/>
          <w:i/>
        </w:rPr>
        <w:t>Id</w:t>
      </w:r>
      <w:r w:rsidRPr="00CF783C">
        <w:rPr>
          <w:rFonts w:ascii="Times New Roman" w:hAnsi="Times New Roman" w:cs="Times New Roman"/>
        </w:rPr>
        <w:t>. at *6.</w:t>
      </w:r>
    </w:p>
  </w:footnote>
  <w:footnote w:id="66">
    <w:p w:rsidR="00805241" w:rsidRPr="00805241" w:rsidRDefault="00805241">
      <w:pPr>
        <w:pStyle w:val="FootnoteText"/>
        <w:rPr>
          <w:rFonts w:ascii="Times New Roman" w:hAnsi="Times New Roman" w:cs="Times New Roman"/>
        </w:rPr>
      </w:pPr>
      <w:r w:rsidRPr="00805241">
        <w:rPr>
          <w:rStyle w:val="FootnoteReference"/>
          <w:rFonts w:ascii="Times New Roman" w:hAnsi="Times New Roman" w:cs="Times New Roman"/>
        </w:rPr>
        <w:footnoteRef/>
      </w:r>
      <w:r w:rsidRPr="00805241">
        <w:rPr>
          <w:rFonts w:ascii="Times New Roman" w:hAnsi="Times New Roman" w:cs="Times New Roman"/>
        </w:rPr>
        <w:t xml:space="preserve"> </w:t>
      </w:r>
      <w:r w:rsidRPr="00805241">
        <w:rPr>
          <w:rFonts w:ascii="Times New Roman" w:hAnsi="Times New Roman" w:cs="Times New Roman"/>
          <w:i/>
        </w:rPr>
        <w:t>Id</w:t>
      </w:r>
      <w:r w:rsidRPr="00805241">
        <w:rPr>
          <w:rFonts w:ascii="Times New Roman" w:hAnsi="Times New Roman" w:cs="Times New Roman"/>
        </w:rPr>
        <w:t>.</w:t>
      </w:r>
    </w:p>
  </w:footnote>
  <w:footnote w:id="67">
    <w:p w:rsidR="0073084B" w:rsidRPr="0073084B" w:rsidRDefault="0073084B">
      <w:pPr>
        <w:pStyle w:val="FootnoteText"/>
        <w:rPr>
          <w:rFonts w:ascii="Times New Roman" w:hAnsi="Times New Roman" w:cs="Times New Roman"/>
        </w:rPr>
      </w:pPr>
      <w:r w:rsidRPr="0073084B">
        <w:rPr>
          <w:rStyle w:val="FootnoteReference"/>
          <w:rFonts w:ascii="Times New Roman" w:hAnsi="Times New Roman" w:cs="Times New Roman"/>
        </w:rPr>
        <w:footnoteRef/>
      </w:r>
      <w:r w:rsidRPr="0073084B">
        <w:rPr>
          <w:rFonts w:ascii="Times New Roman" w:hAnsi="Times New Roman" w:cs="Times New Roman"/>
        </w:rPr>
        <w:t xml:space="preserve"> </w:t>
      </w:r>
      <w:r w:rsidRPr="0073084B">
        <w:rPr>
          <w:rFonts w:ascii="Times New Roman" w:hAnsi="Times New Roman" w:cs="Times New Roman"/>
          <w:i/>
        </w:rPr>
        <w:t>Id</w:t>
      </w:r>
      <w:r w:rsidRPr="0073084B">
        <w:rPr>
          <w:rFonts w:ascii="Times New Roman" w:hAnsi="Times New Roman" w:cs="Times New Roman"/>
        </w:rPr>
        <w:t>.</w:t>
      </w:r>
    </w:p>
  </w:footnote>
  <w:footnote w:id="68">
    <w:p w:rsidR="00383861" w:rsidRPr="00383861" w:rsidRDefault="00383861">
      <w:pPr>
        <w:pStyle w:val="FootnoteText"/>
        <w:rPr>
          <w:rFonts w:ascii="Times New Roman" w:hAnsi="Times New Roman" w:cs="Times New Roman"/>
        </w:rPr>
      </w:pPr>
      <w:r w:rsidRPr="00383861">
        <w:rPr>
          <w:rStyle w:val="FootnoteReference"/>
          <w:rFonts w:ascii="Times New Roman" w:hAnsi="Times New Roman" w:cs="Times New Roman"/>
        </w:rPr>
        <w:footnoteRef/>
      </w:r>
      <w:r w:rsidRPr="00383861">
        <w:rPr>
          <w:rFonts w:ascii="Times New Roman" w:hAnsi="Times New Roman" w:cs="Times New Roman"/>
        </w:rPr>
        <w:t xml:space="preserve"> </w:t>
      </w:r>
      <w:r w:rsidRPr="00383861">
        <w:rPr>
          <w:rFonts w:ascii="Times New Roman" w:hAnsi="Times New Roman" w:cs="Times New Roman"/>
          <w:i/>
        </w:rPr>
        <w:t>Id</w:t>
      </w:r>
      <w:r w:rsidRPr="00383861">
        <w:rPr>
          <w:rFonts w:ascii="Times New Roman" w:hAnsi="Times New Roman" w:cs="Times New Roman"/>
        </w:rPr>
        <w:t>.</w:t>
      </w:r>
    </w:p>
  </w:footnote>
  <w:footnote w:id="69">
    <w:p w:rsidR="00E858B1" w:rsidRPr="00AF5064" w:rsidRDefault="00E858B1">
      <w:pPr>
        <w:pStyle w:val="FootnoteText"/>
        <w:rPr>
          <w:rFonts w:ascii="Times New Roman" w:hAnsi="Times New Roman" w:cs="Times New Roman"/>
        </w:rPr>
      </w:pPr>
      <w:r w:rsidRPr="00E858B1">
        <w:rPr>
          <w:rStyle w:val="FootnoteReference"/>
          <w:rFonts w:ascii="Times New Roman" w:hAnsi="Times New Roman" w:cs="Times New Roman"/>
        </w:rPr>
        <w:footnoteRef/>
      </w:r>
      <w:r w:rsidRPr="00E858B1">
        <w:rPr>
          <w:rFonts w:ascii="Times New Roman" w:hAnsi="Times New Roman" w:cs="Times New Roman"/>
        </w:rPr>
        <w:t xml:space="preserve"> </w:t>
      </w:r>
      <w:r w:rsidR="00AF5064">
        <w:rPr>
          <w:rFonts w:ascii="Times New Roman" w:hAnsi="Times New Roman" w:cs="Times New Roman"/>
          <w:i/>
        </w:rPr>
        <w:t>Id</w:t>
      </w:r>
      <w:r w:rsidR="00AF5064">
        <w:rPr>
          <w:rFonts w:ascii="Times New Roman" w:hAnsi="Times New Roman" w:cs="Times New Roman"/>
        </w:rPr>
        <w:t>.</w:t>
      </w:r>
    </w:p>
  </w:footnote>
  <w:footnote w:id="70">
    <w:p w:rsidR="005358C7" w:rsidRPr="005358C7" w:rsidRDefault="005358C7">
      <w:pPr>
        <w:pStyle w:val="FootnoteText"/>
        <w:rPr>
          <w:rFonts w:ascii="Times New Roman" w:hAnsi="Times New Roman" w:cs="Times New Roman"/>
        </w:rPr>
      </w:pPr>
      <w:r w:rsidRPr="005358C7">
        <w:rPr>
          <w:rStyle w:val="FootnoteReference"/>
          <w:rFonts w:ascii="Times New Roman" w:hAnsi="Times New Roman" w:cs="Times New Roman"/>
        </w:rPr>
        <w:footnoteRef/>
      </w:r>
      <w:r w:rsidRPr="005358C7">
        <w:rPr>
          <w:rFonts w:ascii="Times New Roman" w:hAnsi="Times New Roman" w:cs="Times New Roman"/>
        </w:rPr>
        <w:t xml:space="preserve"> </w:t>
      </w:r>
      <w:r w:rsidR="00AF5064" w:rsidRPr="00E858B1">
        <w:rPr>
          <w:rFonts w:ascii="Times New Roman" w:hAnsi="Times New Roman" w:cs="Times New Roman"/>
          <w:i/>
        </w:rPr>
        <w:t>Pfeifer v. McLaughlin</w:t>
      </w:r>
      <w:r w:rsidR="00AF5064" w:rsidRPr="00E858B1">
        <w:rPr>
          <w:rFonts w:ascii="Times New Roman" w:hAnsi="Times New Roman" w:cs="Times New Roman"/>
        </w:rPr>
        <w:t>, 2018 WL 4167334 at *6 (App. Div. 2018).</w:t>
      </w:r>
    </w:p>
  </w:footnote>
  <w:footnote w:id="71">
    <w:p w:rsidR="00973FBD" w:rsidRPr="00973FBD" w:rsidRDefault="00973FBD">
      <w:pPr>
        <w:pStyle w:val="FootnoteText"/>
        <w:rPr>
          <w:rFonts w:ascii="Times New Roman" w:hAnsi="Times New Roman" w:cs="Times New Roman"/>
        </w:rPr>
      </w:pPr>
      <w:r w:rsidRPr="00973FBD">
        <w:rPr>
          <w:rStyle w:val="FootnoteReference"/>
          <w:rFonts w:ascii="Times New Roman" w:hAnsi="Times New Roman" w:cs="Times New Roman"/>
        </w:rPr>
        <w:footnoteRef/>
      </w:r>
      <w:r w:rsidRPr="00973FBD">
        <w:rPr>
          <w:rFonts w:ascii="Times New Roman" w:hAnsi="Times New Roman" w:cs="Times New Roman"/>
        </w:rPr>
        <w:t xml:space="preserve"> </w:t>
      </w:r>
      <w:r w:rsidRPr="00973FBD">
        <w:rPr>
          <w:rFonts w:ascii="Times New Roman" w:hAnsi="Times New Roman" w:cs="Times New Roman"/>
          <w:i/>
        </w:rPr>
        <w:t>Id</w:t>
      </w:r>
      <w:r w:rsidRPr="00973FBD">
        <w:rPr>
          <w:rFonts w:ascii="Times New Roman" w:hAnsi="Times New Roman" w:cs="Times New Roman"/>
        </w:rPr>
        <w:t>.</w:t>
      </w:r>
    </w:p>
  </w:footnote>
  <w:footnote w:id="72">
    <w:p w:rsidR="00B73ED7" w:rsidRDefault="00B73ED7" w:rsidP="000245E4">
      <w:r>
        <w:rPr>
          <w:rStyle w:val="FootnoteReference"/>
        </w:rPr>
        <w:footnoteRef/>
      </w:r>
      <w:r>
        <w:t xml:space="preserve"> </w:t>
      </w:r>
      <w:proofErr w:type="gramStart"/>
      <w:r w:rsidR="00C84E66" w:rsidRPr="000245E4">
        <w:rPr>
          <w:rFonts w:ascii="Times New Roman" w:hAnsi="Times New Roman" w:cs="Times New Roman"/>
          <w:sz w:val="20"/>
        </w:rPr>
        <w:t xml:space="preserve">Supreme Court Appeals, </w:t>
      </w:r>
      <w:r w:rsidR="00C84E66" w:rsidRPr="000245E4">
        <w:rPr>
          <w:rStyle w:val="BookTitle"/>
          <w:rFonts w:ascii="Times New Roman" w:hAnsi="Times New Roman" w:cs="Times New Roman"/>
          <w:b w:val="0"/>
          <w:sz w:val="20"/>
        </w:rPr>
        <w:t>New Jersey Courts</w:t>
      </w:r>
      <w:r w:rsidR="00C84E66" w:rsidRPr="000245E4">
        <w:rPr>
          <w:rFonts w:ascii="Times New Roman" w:hAnsi="Times New Roman" w:cs="Times New Roman"/>
          <w:sz w:val="20"/>
        </w:rPr>
        <w:t xml:space="preserve">, https://njcourts.gov/courts/supreme/scappeal.html </w:t>
      </w:r>
      <w:r w:rsidR="000245E4" w:rsidRPr="000245E4">
        <w:rPr>
          <w:rFonts w:ascii="Times New Roman" w:hAnsi="Times New Roman" w:cs="Times New Roman"/>
          <w:sz w:val="20"/>
        </w:rPr>
        <w:t xml:space="preserve">(May 6, 2019); Westlaw, </w:t>
      </w:r>
      <w:r w:rsidR="000245E4" w:rsidRPr="000245E4">
        <w:rPr>
          <w:rStyle w:val="BookTitle"/>
          <w:rFonts w:ascii="Times New Roman" w:hAnsi="Times New Roman" w:cs="Times New Roman"/>
          <w:b w:val="0"/>
          <w:sz w:val="20"/>
        </w:rPr>
        <w:t xml:space="preserve">Thompson Reuters </w:t>
      </w:r>
      <w:r w:rsidR="008E2455" w:rsidRPr="008E2455">
        <w:rPr>
          <w:rFonts w:ascii="Times New Roman" w:hAnsi="Times New Roman" w:cs="Times New Roman"/>
          <w:sz w:val="20"/>
        </w:rPr>
        <w:t>(May 6, 2019)</w:t>
      </w:r>
      <w:r w:rsidR="008E2455">
        <w:rPr>
          <w:rFonts w:ascii="Times New Roman" w:hAnsi="Times New Roman" w:cs="Times New Roman"/>
          <w:sz w:val="20"/>
        </w:rPr>
        <w:t>.</w:t>
      </w:r>
      <w:proofErr w:type="gramEnd"/>
    </w:p>
  </w:footnote>
  <w:footnote w:id="73">
    <w:p w:rsidR="001F07AD" w:rsidRPr="001F07AD" w:rsidRDefault="001F07AD">
      <w:pPr>
        <w:pStyle w:val="FootnoteText"/>
        <w:rPr>
          <w:rFonts w:ascii="Times New Roman" w:hAnsi="Times New Roman" w:cs="Times New Roman"/>
        </w:rPr>
      </w:pPr>
      <w:r w:rsidRPr="001F07AD">
        <w:rPr>
          <w:rStyle w:val="FootnoteReference"/>
          <w:rFonts w:ascii="Times New Roman" w:hAnsi="Times New Roman" w:cs="Times New Roman"/>
        </w:rPr>
        <w:footnoteRef/>
      </w:r>
      <w:r w:rsidRPr="001F07AD">
        <w:rPr>
          <w:rFonts w:ascii="Times New Roman" w:hAnsi="Times New Roman" w:cs="Times New Roman"/>
        </w:rPr>
        <w:t xml:space="preserve"> </w:t>
      </w:r>
      <w:proofErr w:type="gramStart"/>
      <w:r w:rsidRPr="001F07AD">
        <w:rPr>
          <w:rFonts w:ascii="Times New Roman" w:hAnsi="Times New Roman" w:cs="Times New Roman"/>
        </w:rPr>
        <w:t xml:space="preserve">Michael Aron, </w:t>
      </w:r>
      <w:r w:rsidRPr="001F07AD">
        <w:rPr>
          <w:rFonts w:ascii="Times New Roman" w:hAnsi="Times New Roman" w:cs="Times New Roman"/>
          <w:i/>
        </w:rPr>
        <w:t>Murphy Signs Package of Bills to Alleviate NJ’s Foreclosure Crisis</w:t>
      </w:r>
      <w:r w:rsidRPr="001F07AD">
        <w:rPr>
          <w:rFonts w:ascii="Times New Roman" w:hAnsi="Times New Roman" w:cs="Times New Roman"/>
        </w:rPr>
        <w:t>, NJTV News (April 29, 2019) https://www.njtvonline.org/news/video/murphy-signs-package-of-bills-to-alleviate-njs-foreclosure-crisis/.</w:t>
      </w:r>
      <w:proofErr w:type="gramEnd"/>
    </w:p>
  </w:footnote>
  <w:footnote w:id="74">
    <w:p w:rsidR="005B148A" w:rsidRPr="005B148A" w:rsidRDefault="005B148A">
      <w:pPr>
        <w:pStyle w:val="FootnoteText"/>
        <w:rPr>
          <w:rFonts w:ascii="Times New Roman" w:hAnsi="Times New Roman" w:cs="Times New Roman"/>
        </w:rPr>
      </w:pPr>
      <w:r w:rsidRPr="005B148A">
        <w:rPr>
          <w:rStyle w:val="FootnoteReference"/>
          <w:rFonts w:ascii="Times New Roman" w:hAnsi="Times New Roman" w:cs="Times New Roman"/>
        </w:rPr>
        <w:footnoteRef/>
      </w:r>
      <w:r w:rsidRPr="005B148A">
        <w:rPr>
          <w:rFonts w:ascii="Times New Roman" w:hAnsi="Times New Roman" w:cs="Times New Roman"/>
        </w:rPr>
        <w:t xml:space="preserve"> A5001</w:t>
      </w:r>
      <w:r w:rsidR="00BF6DC9">
        <w:rPr>
          <w:rFonts w:ascii="Times New Roman" w:hAnsi="Times New Roman" w:cs="Times New Roman"/>
        </w:rPr>
        <w:t xml:space="preserve"> (2019).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D54"/>
    <w:multiLevelType w:val="hybridMultilevel"/>
    <w:tmpl w:val="8D00D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2444"/>
    <w:multiLevelType w:val="hybridMultilevel"/>
    <w:tmpl w:val="4C40AED2"/>
    <w:lvl w:ilvl="0" w:tplc="4FC8268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B5A0E"/>
    <w:multiLevelType w:val="hybridMultilevel"/>
    <w:tmpl w:val="281E70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AB21ED"/>
    <w:multiLevelType w:val="hybridMultilevel"/>
    <w:tmpl w:val="96B045A0"/>
    <w:lvl w:ilvl="0" w:tplc="5D1EBEAC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B5C90"/>
    <w:multiLevelType w:val="hybridMultilevel"/>
    <w:tmpl w:val="20E8E8AC"/>
    <w:lvl w:ilvl="0" w:tplc="F2D0DE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01126"/>
    <w:multiLevelType w:val="hybridMultilevel"/>
    <w:tmpl w:val="CE9E3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96"/>
    <w:rsid w:val="00010546"/>
    <w:rsid w:val="000245E4"/>
    <w:rsid w:val="0003512F"/>
    <w:rsid w:val="00063A5E"/>
    <w:rsid w:val="00063D9A"/>
    <w:rsid w:val="0008218C"/>
    <w:rsid w:val="00086973"/>
    <w:rsid w:val="00095E3D"/>
    <w:rsid w:val="00095F57"/>
    <w:rsid w:val="000976D4"/>
    <w:rsid w:val="000979AE"/>
    <w:rsid w:val="000D684A"/>
    <w:rsid w:val="000E09CB"/>
    <w:rsid w:val="001052BC"/>
    <w:rsid w:val="00107057"/>
    <w:rsid w:val="00111E94"/>
    <w:rsid w:val="001148F0"/>
    <w:rsid w:val="001306D7"/>
    <w:rsid w:val="001312AE"/>
    <w:rsid w:val="00131439"/>
    <w:rsid w:val="00142345"/>
    <w:rsid w:val="0014279E"/>
    <w:rsid w:val="00143F71"/>
    <w:rsid w:val="00152A74"/>
    <w:rsid w:val="001548BF"/>
    <w:rsid w:val="00155FFC"/>
    <w:rsid w:val="00160CA4"/>
    <w:rsid w:val="00166D7B"/>
    <w:rsid w:val="00175B9E"/>
    <w:rsid w:val="001816D7"/>
    <w:rsid w:val="001845F7"/>
    <w:rsid w:val="001873E7"/>
    <w:rsid w:val="00194BBA"/>
    <w:rsid w:val="001A7986"/>
    <w:rsid w:val="001B2683"/>
    <w:rsid w:val="001B2FEB"/>
    <w:rsid w:val="001F07AD"/>
    <w:rsid w:val="001F20E5"/>
    <w:rsid w:val="001F2584"/>
    <w:rsid w:val="00213120"/>
    <w:rsid w:val="00213EAB"/>
    <w:rsid w:val="00215F7B"/>
    <w:rsid w:val="0023074F"/>
    <w:rsid w:val="00263078"/>
    <w:rsid w:val="00263C4C"/>
    <w:rsid w:val="00265C30"/>
    <w:rsid w:val="00270FD8"/>
    <w:rsid w:val="00272EDD"/>
    <w:rsid w:val="00273B1C"/>
    <w:rsid w:val="00282E4C"/>
    <w:rsid w:val="00285210"/>
    <w:rsid w:val="00290567"/>
    <w:rsid w:val="00291500"/>
    <w:rsid w:val="002A05AA"/>
    <w:rsid w:val="002A728D"/>
    <w:rsid w:val="002B0752"/>
    <w:rsid w:val="002F6B07"/>
    <w:rsid w:val="003016D4"/>
    <w:rsid w:val="0030186D"/>
    <w:rsid w:val="0030528B"/>
    <w:rsid w:val="003116BA"/>
    <w:rsid w:val="003205BB"/>
    <w:rsid w:val="00322C22"/>
    <w:rsid w:val="00350D88"/>
    <w:rsid w:val="00352511"/>
    <w:rsid w:val="003644E6"/>
    <w:rsid w:val="00383861"/>
    <w:rsid w:val="003B1202"/>
    <w:rsid w:val="003C041F"/>
    <w:rsid w:val="003C26CD"/>
    <w:rsid w:val="003D7B77"/>
    <w:rsid w:val="003E2D13"/>
    <w:rsid w:val="003E6562"/>
    <w:rsid w:val="003F05C9"/>
    <w:rsid w:val="003F3399"/>
    <w:rsid w:val="003F7188"/>
    <w:rsid w:val="00406795"/>
    <w:rsid w:val="004067E0"/>
    <w:rsid w:val="004118B1"/>
    <w:rsid w:val="0042067E"/>
    <w:rsid w:val="00427550"/>
    <w:rsid w:val="00430DD9"/>
    <w:rsid w:val="00433F58"/>
    <w:rsid w:val="00436FE2"/>
    <w:rsid w:val="004371B1"/>
    <w:rsid w:val="00452897"/>
    <w:rsid w:val="00462A66"/>
    <w:rsid w:val="00466676"/>
    <w:rsid w:val="0046690B"/>
    <w:rsid w:val="00467CF4"/>
    <w:rsid w:val="00496F6A"/>
    <w:rsid w:val="004A5577"/>
    <w:rsid w:val="004A5A82"/>
    <w:rsid w:val="004A70F5"/>
    <w:rsid w:val="004B053C"/>
    <w:rsid w:val="004E2827"/>
    <w:rsid w:val="004F04FF"/>
    <w:rsid w:val="005025E9"/>
    <w:rsid w:val="0050343C"/>
    <w:rsid w:val="005261B3"/>
    <w:rsid w:val="0053408E"/>
    <w:rsid w:val="005358C7"/>
    <w:rsid w:val="00541F37"/>
    <w:rsid w:val="00561F58"/>
    <w:rsid w:val="005705B7"/>
    <w:rsid w:val="005816D0"/>
    <w:rsid w:val="005824A5"/>
    <w:rsid w:val="00583684"/>
    <w:rsid w:val="00584560"/>
    <w:rsid w:val="0058582E"/>
    <w:rsid w:val="005B148A"/>
    <w:rsid w:val="005B6471"/>
    <w:rsid w:val="005B658D"/>
    <w:rsid w:val="005D7940"/>
    <w:rsid w:val="005E05AC"/>
    <w:rsid w:val="005E15D5"/>
    <w:rsid w:val="005F653D"/>
    <w:rsid w:val="00606C65"/>
    <w:rsid w:val="006110D7"/>
    <w:rsid w:val="006329E5"/>
    <w:rsid w:val="00647AFA"/>
    <w:rsid w:val="00652AE5"/>
    <w:rsid w:val="0065496A"/>
    <w:rsid w:val="00656B0D"/>
    <w:rsid w:val="0066237E"/>
    <w:rsid w:val="00677503"/>
    <w:rsid w:val="00681533"/>
    <w:rsid w:val="0069042F"/>
    <w:rsid w:val="00690B04"/>
    <w:rsid w:val="00695D7D"/>
    <w:rsid w:val="006A2E21"/>
    <w:rsid w:val="006B664B"/>
    <w:rsid w:val="006C0944"/>
    <w:rsid w:val="006C5EC7"/>
    <w:rsid w:val="006D1E77"/>
    <w:rsid w:val="006D6E3C"/>
    <w:rsid w:val="006F0CE0"/>
    <w:rsid w:val="006F1831"/>
    <w:rsid w:val="006F41B0"/>
    <w:rsid w:val="00723EAD"/>
    <w:rsid w:val="00724E8E"/>
    <w:rsid w:val="0073084B"/>
    <w:rsid w:val="00745026"/>
    <w:rsid w:val="00753854"/>
    <w:rsid w:val="007679EB"/>
    <w:rsid w:val="00773D53"/>
    <w:rsid w:val="00773F06"/>
    <w:rsid w:val="0078235C"/>
    <w:rsid w:val="0078338D"/>
    <w:rsid w:val="007A6C13"/>
    <w:rsid w:val="007B6189"/>
    <w:rsid w:val="007E1EA7"/>
    <w:rsid w:val="007F198C"/>
    <w:rsid w:val="007F6648"/>
    <w:rsid w:val="00805241"/>
    <w:rsid w:val="008166FC"/>
    <w:rsid w:val="00840490"/>
    <w:rsid w:val="00870FF5"/>
    <w:rsid w:val="00880DF5"/>
    <w:rsid w:val="00882951"/>
    <w:rsid w:val="00892F6B"/>
    <w:rsid w:val="008963E6"/>
    <w:rsid w:val="008A734D"/>
    <w:rsid w:val="008B5BB2"/>
    <w:rsid w:val="008B7D0A"/>
    <w:rsid w:val="008D225A"/>
    <w:rsid w:val="008D5372"/>
    <w:rsid w:val="008E0015"/>
    <w:rsid w:val="008E2455"/>
    <w:rsid w:val="008E4B5F"/>
    <w:rsid w:val="008E6C6A"/>
    <w:rsid w:val="0090174C"/>
    <w:rsid w:val="009109CA"/>
    <w:rsid w:val="00910CE0"/>
    <w:rsid w:val="009250C6"/>
    <w:rsid w:val="00930487"/>
    <w:rsid w:val="00934468"/>
    <w:rsid w:val="00937FE5"/>
    <w:rsid w:val="0094385B"/>
    <w:rsid w:val="0095492E"/>
    <w:rsid w:val="00973FBD"/>
    <w:rsid w:val="00984B44"/>
    <w:rsid w:val="00990431"/>
    <w:rsid w:val="009962D4"/>
    <w:rsid w:val="009971C3"/>
    <w:rsid w:val="009A0267"/>
    <w:rsid w:val="009B0315"/>
    <w:rsid w:val="009B38D0"/>
    <w:rsid w:val="009C4838"/>
    <w:rsid w:val="009C5465"/>
    <w:rsid w:val="009C7E64"/>
    <w:rsid w:val="009E5173"/>
    <w:rsid w:val="00A14AE8"/>
    <w:rsid w:val="00A16EBB"/>
    <w:rsid w:val="00A17619"/>
    <w:rsid w:val="00A313D0"/>
    <w:rsid w:val="00A31448"/>
    <w:rsid w:val="00A629DF"/>
    <w:rsid w:val="00A70D1B"/>
    <w:rsid w:val="00A73AA6"/>
    <w:rsid w:val="00A85796"/>
    <w:rsid w:val="00AB0890"/>
    <w:rsid w:val="00AC2030"/>
    <w:rsid w:val="00AC7250"/>
    <w:rsid w:val="00AD0843"/>
    <w:rsid w:val="00AD1AE7"/>
    <w:rsid w:val="00AD5160"/>
    <w:rsid w:val="00AF5064"/>
    <w:rsid w:val="00B038E5"/>
    <w:rsid w:val="00B12B22"/>
    <w:rsid w:val="00B216F6"/>
    <w:rsid w:val="00B25321"/>
    <w:rsid w:val="00B26A94"/>
    <w:rsid w:val="00B41A25"/>
    <w:rsid w:val="00B519FA"/>
    <w:rsid w:val="00B55BD7"/>
    <w:rsid w:val="00B63761"/>
    <w:rsid w:val="00B73ED7"/>
    <w:rsid w:val="00B74A8C"/>
    <w:rsid w:val="00B84896"/>
    <w:rsid w:val="00B84DDF"/>
    <w:rsid w:val="00B86581"/>
    <w:rsid w:val="00B90B91"/>
    <w:rsid w:val="00B911A1"/>
    <w:rsid w:val="00B9750C"/>
    <w:rsid w:val="00BA42DB"/>
    <w:rsid w:val="00BB0B05"/>
    <w:rsid w:val="00BB1E0A"/>
    <w:rsid w:val="00BB52A3"/>
    <w:rsid w:val="00BD61AD"/>
    <w:rsid w:val="00BE3CFA"/>
    <w:rsid w:val="00BE6249"/>
    <w:rsid w:val="00BF3450"/>
    <w:rsid w:val="00BF3C0D"/>
    <w:rsid w:val="00BF6DC9"/>
    <w:rsid w:val="00C02FCC"/>
    <w:rsid w:val="00C0594C"/>
    <w:rsid w:val="00C078BB"/>
    <w:rsid w:val="00C1474B"/>
    <w:rsid w:val="00C147B1"/>
    <w:rsid w:val="00C45817"/>
    <w:rsid w:val="00C501D9"/>
    <w:rsid w:val="00C57ABB"/>
    <w:rsid w:val="00C60EF0"/>
    <w:rsid w:val="00C61E3E"/>
    <w:rsid w:val="00C76F82"/>
    <w:rsid w:val="00C84E66"/>
    <w:rsid w:val="00C87D0E"/>
    <w:rsid w:val="00C922A9"/>
    <w:rsid w:val="00CA3443"/>
    <w:rsid w:val="00CC6033"/>
    <w:rsid w:val="00CC7783"/>
    <w:rsid w:val="00CD06B7"/>
    <w:rsid w:val="00CD79C5"/>
    <w:rsid w:val="00CF783C"/>
    <w:rsid w:val="00D02C15"/>
    <w:rsid w:val="00D03E24"/>
    <w:rsid w:val="00D10299"/>
    <w:rsid w:val="00D1592D"/>
    <w:rsid w:val="00D15A29"/>
    <w:rsid w:val="00D15A8A"/>
    <w:rsid w:val="00D2541D"/>
    <w:rsid w:val="00D35332"/>
    <w:rsid w:val="00D44667"/>
    <w:rsid w:val="00D57BBD"/>
    <w:rsid w:val="00D7599B"/>
    <w:rsid w:val="00D8115A"/>
    <w:rsid w:val="00D83642"/>
    <w:rsid w:val="00D963B8"/>
    <w:rsid w:val="00DA0A37"/>
    <w:rsid w:val="00DC1287"/>
    <w:rsid w:val="00DC326B"/>
    <w:rsid w:val="00DC3373"/>
    <w:rsid w:val="00DE63AE"/>
    <w:rsid w:val="00DF0033"/>
    <w:rsid w:val="00DF33AA"/>
    <w:rsid w:val="00E05886"/>
    <w:rsid w:val="00E0620A"/>
    <w:rsid w:val="00E065A6"/>
    <w:rsid w:val="00E14AC1"/>
    <w:rsid w:val="00E55C06"/>
    <w:rsid w:val="00E575EB"/>
    <w:rsid w:val="00E67A54"/>
    <w:rsid w:val="00E735DF"/>
    <w:rsid w:val="00E817F8"/>
    <w:rsid w:val="00E82DC6"/>
    <w:rsid w:val="00E858B1"/>
    <w:rsid w:val="00EA7CD7"/>
    <w:rsid w:val="00EB5F5B"/>
    <w:rsid w:val="00EC1291"/>
    <w:rsid w:val="00EC5CB2"/>
    <w:rsid w:val="00ED0641"/>
    <w:rsid w:val="00ED377E"/>
    <w:rsid w:val="00ED6F44"/>
    <w:rsid w:val="00EE609F"/>
    <w:rsid w:val="00EF0E38"/>
    <w:rsid w:val="00EF7B33"/>
    <w:rsid w:val="00F051D3"/>
    <w:rsid w:val="00F075A5"/>
    <w:rsid w:val="00F10204"/>
    <w:rsid w:val="00F139B7"/>
    <w:rsid w:val="00F21CF7"/>
    <w:rsid w:val="00F23F52"/>
    <w:rsid w:val="00F26C0C"/>
    <w:rsid w:val="00F501A6"/>
    <w:rsid w:val="00F53869"/>
    <w:rsid w:val="00F5719B"/>
    <w:rsid w:val="00F635D2"/>
    <w:rsid w:val="00F64138"/>
    <w:rsid w:val="00F713EE"/>
    <w:rsid w:val="00F90A31"/>
    <w:rsid w:val="00F97BF9"/>
    <w:rsid w:val="00FA51D9"/>
    <w:rsid w:val="00FA7B3E"/>
    <w:rsid w:val="00FB5688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05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5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5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1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89"/>
  </w:style>
  <w:style w:type="paragraph" w:styleId="Footer">
    <w:name w:val="footer"/>
    <w:basedOn w:val="Normal"/>
    <w:link w:val="FooterChar"/>
    <w:uiPriority w:val="99"/>
    <w:unhideWhenUsed/>
    <w:rsid w:val="007B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89"/>
  </w:style>
  <w:style w:type="character" w:styleId="Hyperlink">
    <w:name w:val="Hyperlink"/>
    <w:basedOn w:val="DefaultParagraphFont"/>
    <w:uiPriority w:val="99"/>
    <w:unhideWhenUsed/>
    <w:rsid w:val="00C84E66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9750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05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5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5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1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89"/>
  </w:style>
  <w:style w:type="paragraph" w:styleId="Footer">
    <w:name w:val="footer"/>
    <w:basedOn w:val="Normal"/>
    <w:link w:val="FooterChar"/>
    <w:uiPriority w:val="99"/>
    <w:unhideWhenUsed/>
    <w:rsid w:val="007B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89"/>
  </w:style>
  <w:style w:type="character" w:styleId="Hyperlink">
    <w:name w:val="Hyperlink"/>
    <w:basedOn w:val="DefaultParagraphFont"/>
    <w:uiPriority w:val="99"/>
    <w:unhideWhenUsed/>
    <w:rsid w:val="00C84E66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975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A. Pistritto</dc:creator>
  <cp:lastModifiedBy>Joseph A. Pistritto</cp:lastModifiedBy>
  <cp:revision>10</cp:revision>
  <dcterms:created xsi:type="dcterms:W3CDTF">2019-05-06T16:15:00Z</dcterms:created>
  <dcterms:modified xsi:type="dcterms:W3CDTF">2019-05-06T16:45:00Z</dcterms:modified>
</cp:coreProperties>
</file>