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065582" w14:textId="77777777" w:rsidR="00690860" w:rsidRDefault="00690860" w:rsidP="00690860">
      <w:pPr>
        <w:jc w:val="center"/>
        <w:rPr>
          <w:rFonts w:ascii="Times New Roman" w:eastAsia="Times New Roman" w:hAnsi="Times New Roman" w:cs="Times New Roman"/>
          <w:b/>
          <w:sz w:val="28"/>
          <w:szCs w:val="28"/>
        </w:rPr>
      </w:pPr>
      <w:bookmarkStart w:id="0" w:name="_Toc440286749"/>
      <w:r w:rsidRPr="0046180C">
        <w:rPr>
          <w:rFonts w:ascii="Times New Roman" w:eastAsia="Times New Roman" w:hAnsi="Times New Roman" w:cs="Times New Roman"/>
          <w:noProof/>
        </w:rPr>
        <w:drawing>
          <wp:inline distT="0" distB="0" distL="0" distR="0" wp14:anchorId="2CEF8212" wp14:editId="7B5DC660">
            <wp:extent cx="1543050" cy="146685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543050" cy="1466850"/>
                    </a:xfrm>
                    <a:prstGeom prst="rect">
                      <a:avLst/>
                    </a:prstGeom>
                    <a:ln/>
                  </pic:spPr>
                </pic:pic>
              </a:graphicData>
            </a:graphic>
          </wp:inline>
        </w:drawing>
      </w:r>
    </w:p>
    <w:p w14:paraId="200B3834" w14:textId="77777777" w:rsidR="00690860" w:rsidRPr="0046180C" w:rsidRDefault="00690860" w:rsidP="00690860">
      <w:pPr>
        <w:jc w:val="center"/>
        <w:rPr>
          <w:rFonts w:ascii="Times New Roman" w:eastAsia="Times New Roman" w:hAnsi="Times New Roman" w:cs="Times New Roman"/>
          <w:b/>
          <w:sz w:val="28"/>
          <w:szCs w:val="28"/>
        </w:rPr>
      </w:pPr>
    </w:p>
    <w:p w14:paraId="6977E81F" w14:textId="77777777" w:rsidR="00690860" w:rsidRPr="0046180C" w:rsidRDefault="00690860" w:rsidP="00690860">
      <w:pPr>
        <w:spacing w:after="120" w:line="240" w:lineRule="auto"/>
        <w:jc w:val="center"/>
        <w:rPr>
          <w:rFonts w:ascii="Times New Roman" w:eastAsia="Times New Roman" w:hAnsi="Times New Roman" w:cs="Times New Roman"/>
          <w:b/>
          <w:sz w:val="28"/>
          <w:szCs w:val="28"/>
        </w:rPr>
      </w:pPr>
      <w:r w:rsidRPr="0046180C">
        <w:rPr>
          <w:rFonts w:ascii="Times New Roman" w:eastAsia="Times New Roman" w:hAnsi="Times New Roman" w:cs="Times New Roman"/>
          <w:b/>
          <w:sz w:val="28"/>
          <w:szCs w:val="28"/>
        </w:rPr>
        <w:t>NEW JERSEY LAW REVISION COMMISSION</w:t>
      </w:r>
    </w:p>
    <w:p w14:paraId="3810E72C" w14:textId="77777777" w:rsidR="00690860" w:rsidRDefault="00690860" w:rsidP="00690860">
      <w:pPr>
        <w:spacing w:after="0" w:line="240" w:lineRule="auto"/>
        <w:jc w:val="center"/>
        <w:rPr>
          <w:rFonts w:ascii="Times New Roman" w:eastAsia="Times New Roman" w:hAnsi="Times New Roman" w:cs="Times New Roman"/>
          <w:b/>
          <w:sz w:val="28"/>
          <w:szCs w:val="28"/>
        </w:rPr>
      </w:pPr>
    </w:p>
    <w:p w14:paraId="7B814AC3" w14:textId="3C43059C" w:rsidR="00690860" w:rsidRPr="0046180C" w:rsidRDefault="00690860" w:rsidP="00690860">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Draft </w:t>
      </w:r>
      <w:r w:rsidR="00593808">
        <w:rPr>
          <w:rFonts w:ascii="Times New Roman" w:eastAsia="Times New Roman" w:hAnsi="Times New Roman" w:cs="Times New Roman"/>
          <w:b/>
          <w:sz w:val="28"/>
          <w:szCs w:val="28"/>
        </w:rPr>
        <w:t>Final</w:t>
      </w:r>
      <w:r w:rsidRPr="0046180C">
        <w:rPr>
          <w:rFonts w:ascii="Times New Roman" w:eastAsia="Times New Roman" w:hAnsi="Times New Roman" w:cs="Times New Roman"/>
          <w:b/>
          <w:sz w:val="28"/>
          <w:szCs w:val="28"/>
        </w:rPr>
        <w:t xml:space="preserve"> Report</w:t>
      </w:r>
    </w:p>
    <w:p w14:paraId="2A1E1B7E" w14:textId="77777777" w:rsidR="00690860" w:rsidRPr="0046180C" w:rsidRDefault="00690860" w:rsidP="00690860">
      <w:pPr>
        <w:spacing w:after="0" w:line="240" w:lineRule="auto"/>
        <w:jc w:val="center"/>
        <w:rPr>
          <w:rFonts w:ascii="Times New Roman" w:eastAsia="Times New Roman" w:hAnsi="Times New Roman" w:cs="Times New Roman"/>
          <w:b/>
          <w:sz w:val="28"/>
          <w:szCs w:val="28"/>
        </w:rPr>
      </w:pPr>
      <w:r w:rsidRPr="0046180C">
        <w:rPr>
          <w:rFonts w:ascii="Times New Roman" w:eastAsia="Times New Roman" w:hAnsi="Times New Roman" w:cs="Times New Roman"/>
          <w:b/>
          <w:sz w:val="28"/>
          <w:szCs w:val="28"/>
        </w:rPr>
        <w:t xml:space="preserve">Relating to </w:t>
      </w:r>
    </w:p>
    <w:p w14:paraId="601185F7" w14:textId="20D65AAB" w:rsidR="00690860" w:rsidRDefault="00690860" w:rsidP="00690860">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Imputing Negligence to a</w:t>
      </w:r>
    </w:p>
    <w:p w14:paraId="5A61134F" w14:textId="3941CC16" w:rsidR="00690860" w:rsidRPr="0046180C" w:rsidRDefault="00690860" w:rsidP="00690860">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Public Entity</w:t>
      </w:r>
    </w:p>
    <w:p w14:paraId="1B4D42BA" w14:textId="77777777" w:rsidR="00690860" w:rsidRDefault="00690860" w:rsidP="00690860">
      <w:pPr>
        <w:spacing w:after="0" w:line="240" w:lineRule="auto"/>
        <w:jc w:val="center"/>
        <w:rPr>
          <w:rFonts w:ascii="Times New Roman" w:eastAsia="Times New Roman" w:hAnsi="Times New Roman" w:cs="Times New Roman"/>
          <w:b/>
          <w:sz w:val="28"/>
          <w:szCs w:val="28"/>
        </w:rPr>
      </w:pPr>
    </w:p>
    <w:p w14:paraId="39BB2C19" w14:textId="12644FCB" w:rsidR="00690860" w:rsidRDefault="00593808" w:rsidP="00690860">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June 10</w:t>
      </w:r>
      <w:r w:rsidR="00690860">
        <w:rPr>
          <w:rFonts w:ascii="Times New Roman" w:eastAsia="Times New Roman" w:hAnsi="Times New Roman" w:cs="Times New Roman"/>
          <w:b/>
          <w:sz w:val="28"/>
          <w:szCs w:val="28"/>
        </w:rPr>
        <w:t>, 2019</w:t>
      </w:r>
    </w:p>
    <w:p w14:paraId="1D07D68F" w14:textId="77777777" w:rsidR="008B6360" w:rsidRPr="0046180C" w:rsidRDefault="008B6360" w:rsidP="00690860">
      <w:pPr>
        <w:spacing w:after="0" w:line="240" w:lineRule="auto"/>
        <w:jc w:val="center"/>
        <w:rPr>
          <w:rFonts w:ascii="Times New Roman" w:eastAsia="Times New Roman" w:hAnsi="Times New Roman" w:cs="Times New Roman"/>
          <w:b/>
          <w:sz w:val="28"/>
          <w:szCs w:val="28"/>
        </w:rPr>
      </w:pPr>
    </w:p>
    <w:p w14:paraId="61DF642F" w14:textId="77777777" w:rsidR="0034198A" w:rsidRPr="00C760B7" w:rsidRDefault="0034198A" w:rsidP="0034198A">
      <w:pPr>
        <w:spacing w:after="0" w:line="240" w:lineRule="auto"/>
        <w:jc w:val="center"/>
        <w:rPr>
          <w:rFonts w:ascii="Times New Roman" w:eastAsia="Times New Roman" w:hAnsi="Times New Roman" w:cs="Times New Roman"/>
          <w:sz w:val="24"/>
          <w:szCs w:val="20"/>
        </w:rPr>
      </w:pPr>
      <w:r w:rsidRPr="00C760B7">
        <w:rPr>
          <w:rFonts w:ascii="Times New Roman" w:eastAsia="Times New Roman" w:hAnsi="Times New Roman" w:cs="Times New Roman"/>
          <w:sz w:val="24"/>
          <w:szCs w:val="20"/>
        </w:rPr>
        <w:t>The work of the New Jersey Law Revision Commission is only a recommendation until enacted.</w:t>
      </w:r>
    </w:p>
    <w:p w14:paraId="5213413B" w14:textId="77777777" w:rsidR="0034198A" w:rsidRPr="00C760B7" w:rsidRDefault="0034198A" w:rsidP="0034198A">
      <w:pPr>
        <w:spacing w:after="0" w:line="240" w:lineRule="auto"/>
        <w:jc w:val="center"/>
        <w:rPr>
          <w:rFonts w:ascii="Times New Roman" w:eastAsia="Times New Roman" w:hAnsi="Times New Roman" w:cs="Times New Roman"/>
          <w:sz w:val="24"/>
          <w:szCs w:val="20"/>
        </w:rPr>
      </w:pPr>
    </w:p>
    <w:p w14:paraId="47BA4C53" w14:textId="77777777" w:rsidR="0034198A" w:rsidRPr="00C760B7" w:rsidRDefault="0034198A" w:rsidP="0034198A">
      <w:pPr>
        <w:spacing w:after="0" w:line="240" w:lineRule="auto"/>
        <w:jc w:val="center"/>
        <w:rPr>
          <w:rFonts w:ascii="Times New Roman" w:eastAsia="Times New Roman" w:hAnsi="Times New Roman" w:cs="Times New Roman"/>
          <w:sz w:val="24"/>
          <w:szCs w:val="20"/>
        </w:rPr>
      </w:pPr>
      <w:r w:rsidRPr="00C760B7">
        <w:rPr>
          <w:rFonts w:ascii="Times New Roman" w:eastAsia="Times New Roman" w:hAnsi="Times New Roman" w:cs="Times New Roman"/>
          <w:sz w:val="24"/>
          <w:szCs w:val="20"/>
        </w:rPr>
        <w:t>Please consult the New Jersey statutes in order to determine the law of the State.</w:t>
      </w:r>
    </w:p>
    <w:p w14:paraId="510EE877" w14:textId="77777777" w:rsidR="0034198A" w:rsidRPr="00C760B7" w:rsidRDefault="0034198A" w:rsidP="0034198A">
      <w:pPr>
        <w:spacing w:after="0" w:line="240" w:lineRule="auto"/>
        <w:ind w:firstLine="720"/>
        <w:jc w:val="center"/>
        <w:rPr>
          <w:rFonts w:ascii="Times New Roman" w:eastAsia="Times New Roman" w:hAnsi="Times New Roman" w:cs="Times New Roman"/>
          <w:sz w:val="24"/>
          <w:szCs w:val="20"/>
        </w:rPr>
      </w:pPr>
    </w:p>
    <w:p w14:paraId="43F8EEAD" w14:textId="77777777" w:rsidR="0034198A" w:rsidRPr="00C760B7" w:rsidRDefault="0034198A" w:rsidP="0034198A">
      <w:pPr>
        <w:spacing w:after="0" w:line="240" w:lineRule="auto"/>
        <w:jc w:val="center"/>
        <w:rPr>
          <w:rFonts w:ascii="Times New Roman" w:eastAsia="Times New Roman" w:hAnsi="Times New Roman" w:cs="Times New Roman"/>
          <w:sz w:val="24"/>
          <w:szCs w:val="20"/>
        </w:rPr>
      </w:pPr>
      <w:r w:rsidRPr="00C760B7">
        <w:rPr>
          <w:rFonts w:ascii="Times New Roman" w:eastAsia="Times New Roman" w:hAnsi="Times New Roman" w:cs="Times New Roman"/>
          <w:sz w:val="24"/>
          <w:szCs w:val="20"/>
        </w:rPr>
        <w:t>Please send comments concerning this Report or direct any related inquiries, to:</w:t>
      </w:r>
    </w:p>
    <w:p w14:paraId="3FE94DB2" w14:textId="77777777" w:rsidR="0034198A" w:rsidRDefault="0034198A" w:rsidP="0034198A">
      <w:pPr>
        <w:spacing w:after="0" w:line="240" w:lineRule="auto"/>
        <w:jc w:val="center"/>
        <w:rPr>
          <w:sz w:val="24"/>
          <w:szCs w:val="24"/>
        </w:rPr>
      </w:pPr>
    </w:p>
    <w:p w14:paraId="6A5CFE07" w14:textId="77777777" w:rsidR="00690860" w:rsidRPr="008B6360" w:rsidRDefault="00690860" w:rsidP="00690860">
      <w:pPr>
        <w:spacing w:after="0" w:line="240" w:lineRule="auto"/>
        <w:jc w:val="center"/>
        <w:rPr>
          <w:sz w:val="24"/>
          <w:szCs w:val="24"/>
        </w:rPr>
      </w:pPr>
    </w:p>
    <w:p w14:paraId="13C7AAC0" w14:textId="77777777" w:rsidR="00690860" w:rsidRPr="008B6360" w:rsidRDefault="00690860" w:rsidP="00690860">
      <w:pPr>
        <w:spacing w:after="0" w:line="240" w:lineRule="auto"/>
        <w:jc w:val="center"/>
        <w:rPr>
          <w:rFonts w:ascii="Times New Roman" w:eastAsia="Times New Roman" w:hAnsi="Times New Roman" w:cs="Times New Roman"/>
          <w:sz w:val="24"/>
          <w:szCs w:val="24"/>
        </w:rPr>
      </w:pPr>
      <w:r w:rsidRPr="008B6360">
        <w:rPr>
          <w:rFonts w:ascii="Times New Roman" w:eastAsia="Times New Roman" w:hAnsi="Times New Roman" w:cs="Times New Roman"/>
          <w:sz w:val="24"/>
          <w:szCs w:val="24"/>
        </w:rPr>
        <w:t>Jennifer Weitz, Counsel</w:t>
      </w:r>
    </w:p>
    <w:p w14:paraId="6DEE335B" w14:textId="77777777" w:rsidR="00690860" w:rsidRPr="008B6360" w:rsidRDefault="00690860" w:rsidP="00690860">
      <w:pPr>
        <w:spacing w:after="0" w:line="240" w:lineRule="auto"/>
        <w:jc w:val="center"/>
        <w:rPr>
          <w:rFonts w:ascii="Times New Roman" w:eastAsia="Times New Roman" w:hAnsi="Times New Roman" w:cs="Times New Roman"/>
          <w:sz w:val="24"/>
          <w:szCs w:val="24"/>
        </w:rPr>
      </w:pPr>
      <w:r w:rsidRPr="008B6360">
        <w:rPr>
          <w:rFonts w:ascii="Times New Roman" w:eastAsia="Times New Roman" w:hAnsi="Times New Roman" w:cs="Times New Roman"/>
          <w:sz w:val="24"/>
          <w:szCs w:val="24"/>
        </w:rPr>
        <w:t>New Jersey Law Revision Commission</w:t>
      </w:r>
    </w:p>
    <w:p w14:paraId="66351F52" w14:textId="77777777" w:rsidR="00690860" w:rsidRPr="008B6360" w:rsidRDefault="00690860" w:rsidP="00690860">
      <w:pPr>
        <w:spacing w:after="0" w:line="240" w:lineRule="auto"/>
        <w:jc w:val="center"/>
        <w:rPr>
          <w:rFonts w:ascii="Times New Roman" w:eastAsia="Times New Roman" w:hAnsi="Times New Roman" w:cs="Times New Roman"/>
          <w:sz w:val="24"/>
          <w:szCs w:val="24"/>
        </w:rPr>
      </w:pPr>
      <w:r w:rsidRPr="008B6360">
        <w:rPr>
          <w:rFonts w:ascii="Times New Roman" w:eastAsia="Times New Roman" w:hAnsi="Times New Roman" w:cs="Times New Roman"/>
          <w:sz w:val="24"/>
          <w:szCs w:val="24"/>
        </w:rPr>
        <w:t>153 Halsey Street, 7th fl.</w:t>
      </w:r>
    </w:p>
    <w:p w14:paraId="1EFF70F8" w14:textId="77777777" w:rsidR="00690860" w:rsidRPr="008B6360" w:rsidRDefault="00690860" w:rsidP="00690860">
      <w:pPr>
        <w:spacing w:after="0" w:line="240" w:lineRule="auto"/>
        <w:jc w:val="center"/>
        <w:rPr>
          <w:rFonts w:ascii="Times New Roman" w:eastAsia="Times New Roman" w:hAnsi="Times New Roman" w:cs="Times New Roman"/>
          <w:sz w:val="24"/>
          <w:szCs w:val="24"/>
        </w:rPr>
      </w:pPr>
      <w:r w:rsidRPr="008B6360">
        <w:rPr>
          <w:rFonts w:ascii="Times New Roman" w:eastAsia="Times New Roman" w:hAnsi="Times New Roman" w:cs="Times New Roman"/>
          <w:sz w:val="24"/>
          <w:szCs w:val="24"/>
        </w:rPr>
        <w:t>Newark, New Jersey 07102</w:t>
      </w:r>
    </w:p>
    <w:p w14:paraId="489DAE50" w14:textId="77777777" w:rsidR="00690860" w:rsidRPr="008B6360" w:rsidRDefault="00690860" w:rsidP="00690860">
      <w:pPr>
        <w:spacing w:after="0" w:line="240" w:lineRule="auto"/>
        <w:jc w:val="center"/>
        <w:rPr>
          <w:rFonts w:ascii="Times New Roman" w:eastAsia="Times New Roman" w:hAnsi="Times New Roman" w:cs="Times New Roman"/>
          <w:sz w:val="24"/>
          <w:szCs w:val="24"/>
        </w:rPr>
      </w:pPr>
      <w:r w:rsidRPr="008B6360">
        <w:rPr>
          <w:rFonts w:ascii="Times New Roman" w:eastAsia="Times New Roman" w:hAnsi="Times New Roman" w:cs="Times New Roman"/>
          <w:sz w:val="24"/>
          <w:szCs w:val="24"/>
        </w:rPr>
        <w:t>973-648-4575</w:t>
      </w:r>
    </w:p>
    <w:p w14:paraId="64351332" w14:textId="77777777" w:rsidR="00690860" w:rsidRPr="008B6360" w:rsidRDefault="00690860" w:rsidP="00690860">
      <w:pPr>
        <w:spacing w:after="0" w:line="240" w:lineRule="auto"/>
        <w:jc w:val="center"/>
        <w:rPr>
          <w:rFonts w:ascii="Times New Roman" w:eastAsia="Times New Roman" w:hAnsi="Times New Roman" w:cs="Times New Roman"/>
          <w:sz w:val="24"/>
          <w:szCs w:val="24"/>
        </w:rPr>
      </w:pPr>
      <w:r w:rsidRPr="008B6360">
        <w:rPr>
          <w:rFonts w:ascii="Times New Roman" w:eastAsia="Times New Roman" w:hAnsi="Times New Roman" w:cs="Times New Roman"/>
          <w:sz w:val="24"/>
          <w:szCs w:val="24"/>
        </w:rPr>
        <w:t>(Fax) 973-648-3123</w:t>
      </w:r>
    </w:p>
    <w:p w14:paraId="632E40BA" w14:textId="77777777" w:rsidR="00690860" w:rsidRPr="008B6360" w:rsidRDefault="00690860" w:rsidP="00690860">
      <w:pPr>
        <w:spacing w:after="0" w:line="240" w:lineRule="auto"/>
        <w:jc w:val="center"/>
        <w:rPr>
          <w:rFonts w:ascii="Times New Roman" w:eastAsia="Times New Roman" w:hAnsi="Times New Roman" w:cs="Times New Roman"/>
          <w:sz w:val="24"/>
          <w:szCs w:val="24"/>
        </w:rPr>
      </w:pPr>
      <w:r w:rsidRPr="008B6360">
        <w:rPr>
          <w:rFonts w:ascii="Times New Roman" w:eastAsia="Times New Roman" w:hAnsi="Times New Roman" w:cs="Times New Roman"/>
          <w:sz w:val="24"/>
          <w:szCs w:val="24"/>
        </w:rPr>
        <w:t>Email: jdw@njlrc.org</w:t>
      </w:r>
    </w:p>
    <w:p w14:paraId="0075F811" w14:textId="77777777" w:rsidR="00690860" w:rsidRPr="008B6360" w:rsidRDefault="00690860" w:rsidP="00690860">
      <w:pPr>
        <w:spacing w:after="0" w:line="240" w:lineRule="auto"/>
        <w:jc w:val="center"/>
        <w:rPr>
          <w:rFonts w:ascii="Times New Roman" w:eastAsia="Times New Roman" w:hAnsi="Times New Roman" w:cs="Times New Roman"/>
          <w:sz w:val="24"/>
          <w:szCs w:val="24"/>
        </w:rPr>
      </w:pPr>
      <w:r w:rsidRPr="008B6360">
        <w:rPr>
          <w:rFonts w:ascii="Times New Roman" w:eastAsia="Times New Roman" w:hAnsi="Times New Roman" w:cs="Times New Roman"/>
          <w:sz w:val="24"/>
          <w:szCs w:val="24"/>
        </w:rPr>
        <w:t>Web site:  http://www.njlrc.org</w:t>
      </w:r>
    </w:p>
    <w:bookmarkEnd w:id="0"/>
    <w:p w14:paraId="48BA4525" w14:textId="77777777" w:rsidR="00690860" w:rsidRDefault="00690860" w:rsidP="00690860">
      <w:pPr>
        <w:spacing w:after="0" w:line="276" w:lineRule="auto"/>
        <w:jc w:val="center"/>
        <w:rPr>
          <w:rFonts w:ascii="Times New Roman" w:hAnsi="Times New Roman" w:cs="Times New Roman"/>
          <w:b/>
          <w:sz w:val="24"/>
          <w:szCs w:val="24"/>
        </w:rPr>
      </w:pPr>
    </w:p>
    <w:p w14:paraId="7EE00910" w14:textId="77777777" w:rsidR="0034198A" w:rsidRDefault="0034198A">
      <w:pPr>
        <w:rPr>
          <w:rFonts w:ascii="Times New Roman" w:hAnsi="Times New Roman" w:cs="Times New Roman"/>
          <w:b/>
          <w:sz w:val="24"/>
          <w:szCs w:val="24"/>
        </w:rPr>
      </w:pPr>
      <w:r>
        <w:rPr>
          <w:rFonts w:ascii="Times New Roman" w:hAnsi="Times New Roman" w:cs="Times New Roman"/>
          <w:b/>
          <w:sz w:val="24"/>
          <w:szCs w:val="24"/>
        </w:rPr>
        <w:br w:type="page"/>
      </w:r>
    </w:p>
    <w:p w14:paraId="3C06D3FE" w14:textId="3583083E" w:rsidR="00690860" w:rsidRPr="00D65C65" w:rsidRDefault="00690860" w:rsidP="00690860">
      <w:pPr>
        <w:spacing w:after="0" w:line="276" w:lineRule="auto"/>
        <w:jc w:val="center"/>
        <w:rPr>
          <w:rFonts w:ascii="Times New Roman" w:hAnsi="Times New Roman" w:cs="Times New Roman"/>
          <w:sz w:val="24"/>
          <w:szCs w:val="24"/>
        </w:rPr>
      </w:pPr>
      <w:r>
        <w:rPr>
          <w:rFonts w:ascii="Times New Roman" w:hAnsi="Times New Roman" w:cs="Times New Roman"/>
          <w:b/>
          <w:sz w:val="24"/>
          <w:szCs w:val="24"/>
        </w:rPr>
        <w:lastRenderedPageBreak/>
        <w:t>Introduction</w:t>
      </w:r>
    </w:p>
    <w:p w14:paraId="6CFF8C2A" w14:textId="77777777" w:rsidR="00690860" w:rsidRDefault="00690860" w:rsidP="00690860">
      <w:pPr>
        <w:spacing w:after="0" w:line="276" w:lineRule="auto"/>
        <w:ind w:firstLine="720"/>
        <w:jc w:val="both"/>
        <w:rPr>
          <w:rFonts w:ascii="Times New Roman" w:hAnsi="Times New Roman" w:cs="Times New Roman"/>
          <w:sz w:val="24"/>
          <w:szCs w:val="24"/>
        </w:rPr>
      </w:pPr>
    </w:p>
    <w:p w14:paraId="12DE2A49" w14:textId="4F1F72A4" w:rsidR="00690860" w:rsidRDefault="00F16EC5" w:rsidP="008B6360">
      <w:pPr>
        <w:spacing w:line="276" w:lineRule="auto"/>
        <w:ind w:firstLine="720"/>
        <w:jc w:val="both"/>
        <w:rPr>
          <w:rFonts w:ascii="Times New Roman" w:hAnsi="Times New Roman"/>
          <w:sz w:val="24"/>
          <w:szCs w:val="24"/>
        </w:rPr>
      </w:pPr>
      <w:r>
        <w:rPr>
          <w:rFonts w:ascii="Times New Roman" w:hAnsi="Times New Roman" w:cs="Times New Roman"/>
          <w:sz w:val="24"/>
          <w:szCs w:val="24"/>
        </w:rPr>
        <w:t>I</w:t>
      </w:r>
      <w:r w:rsidR="005C061A">
        <w:rPr>
          <w:rFonts w:ascii="Times New Roman" w:hAnsi="Times New Roman" w:cs="Times New Roman"/>
          <w:sz w:val="24"/>
          <w:szCs w:val="24"/>
        </w:rPr>
        <w:t xml:space="preserve">mputing negligence of a third party to a public entity, as a means of expanding </w:t>
      </w:r>
      <w:r w:rsidR="000E2039">
        <w:rPr>
          <w:rFonts w:ascii="Times New Roman" w:hAnsi="Times New Roman" w:cs="Times New Roman"/>
          <w:sz w:val="24"/>
          <w:szCs w:val="24"/>
        </w:rPr>
        <w:t>potential</w:t>
      </w:r>
      <w:r w:rsidR="005C061A">
        <w:rPr>
          <w:rFonts w:ascii="Times New Roman" w:hAnsi="Times New Roman" w:cs="Times New Roman"/>
          <w:sz w:val="24"/>
          <w:szCs w:val="24"/>
        </w:rPr>
        <w:t xml:space="preserve"> remedies in the context of a contract dispute, came to the attention of the Commission through </w:t>
      </w:r>
      <w:r w:rsidR="00690860" w:rsidRPr="008C2DFA">
        <w:rPr>
          <w:rFonts w:ascii="Times New Roman" w:hAnsi="Times New Roman"/>
          <w:i/>
          <w:sz w:val="24"/>
          <w:szCs w:val="24"/>
        </w:rPr>
        <w:t>City of Perth Amboy v. Interstate Industrial Corp.</w:t>
      </w:r>
      <w:r w:rsidR="00690860" w:rsidRPr="008C2DFA">
        <w:rPr>
          <w:rFonts w:ascii="Times New Roman" w:hAnsi="Times New Roman"/>
          <w:sz w:val="24"/>
          <w:szCs w:val="24"/>
        </w:rPr>
        <w:t>, 2017 WL 2152738</w:t>
      </w:r>
      <w:r w:rsidR="008B6360">
        <w:rPr>
          <w:rFonts w:ascii="Times New Roman" w:hAnsi="Times New Roman"/>
          <w:sz w:val="24"/>
          <w:szCs w:val="24"/>
        </w:rPr>
        <w:t xml:space="preserve"> (App. Div. 2017)</w:t>
      </w:r>
      <w:r w:rsidR="005C061A">
        <w:rPr>
          <w:rFonts w:ascii="Times New Roman" w:hAnsi="Times New Roman"/>
          <w:sz w:val="24"/>
          <w:szCs w:val="24"/>
        </w:rPr>
        <w:t>. T</w:t>
      </w:r>
      <w:r w:rsidR="00690860" w:rsidRPr="008C2DFA">
        <w:rPr>
          <w:rFonts w:ascii="Times New Roman" w:hAnsi="Times New Roman"/>
          <w:sz w:val="24"/>
          <w:szCs w:val="24"/>
        </w:rPr>
        <w:t xml:space="preserve">he Appellate Division considered whether an agent or independent contractor’s negligence could be imputed to a contracting unit, i.e., a public entity, when an exculpatory clause limited damages against the public entity to an extension of time for performance. </w:t>
      </w:r>
    </w:p>
    <w:p w14:paraId="21F8E777" w14:textId="61F11192" w:rsidR="00690860" w:rsidRPr="008C2DFA" w:rsidRDefault="00690860" w:rsidP="008B6360">
      <w:pPr>
        <w:spacing w:line="276" w:lineRule="auto"/>
        <w:ind w:firstLine="720"/>
        <w:jc w:val="both"/>
        <w:rPr>
          <w:rFonts w:ascii="Times New Roman" w:hAnsi="Times New Roman"/>
          <w:sz w:val="24"/>
          <w:szCs w:val="24"/>
        </w:rPr>
      </w:pPr>
      <w:r w:rsidRPr="008C2DFA">
        <w:rPr>
          <w:rFonts w:ascii="Times New Roman" w:hAnsi="Times New Roman"/>
          <w:sz w:val="24"/>
          <w:szCs w:val="24"/>
        </w:rPr>
        <w:t xml:space="preserve">The </w:t>
      </w:r>
      <w:r>
        <w:rPr>
          <w:rFonts w:ascii="Times New Roman" w:hAnsi="Times New Roman"/>
          <w:sz w:val="24"/>
          <w:szCs w:val="24"/>
        </w:rPr>
        <w:t>C</w:t>
      </w:r>
      <w:r w:rsidRPr="008C2DFA">
        <w:rPr>
          <w:rFonts w:ascii="Times New Roman" w:hAnsi="Times New Roman"/>
          <w:sz w:val="24"/>
          <w:szCs w:val="24"/>
        </w:rPr>
        <w:t xml:space="preserve">ourt found that “the Legislature did not intend to broaden a public entity’s liability by permitting the negligence of its agents or independent contractors to be imputed to the public entity,” and in the absence of negligence on the part of the public entity, the exculpatory clause was enforceable. </w:t>
      </w:r>
    </w:p>
    <w:p w14:paraId="3DC40BC9" w14:textId="77777777" w:rsidR="00690860" w:rsidRPr="006F36F2" w:rsidRDefault="00690860" w:rsidP="00690860">
      <w:pPr>
        <w:spacing w:line="276" w:lineRule="auto"/>
        <w:jc w:val="center"/>
        <w:rPr>
          <w:rFonts w:ascii="Times New Roman" w:hAnsi="Times New Roman" w:cs="Times New Roman"/>
          <w:sz w:val="24"/>
          <w:szCs w:val="24"/>
        </w:rPr>
      </w:pPr>
      <w:r>
        <w:rPr>
          <w:rFonts w:ascii="Times New Roman" w:hAnsi="Times New Roman" w:cs="Times New Roman"/>
          <w:b/>
          <w:sz w:val="24"/>
          <w:szCs w:val="24"/>
        </w:rPr>
        <w:t>Background</w:t>
      </w:r>
    </w:p>
    <w:p w14:paraId="058D1F61" w14:textId="772E7826" w:rsidR="00BC51D9" w:rsidRDefault="00BC51D9" w:rsidP="00690860">
      <w:pPr>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City of </w:t>
      </w:r>
      <w:r w:rsidR="00690860">
        <w:rPr>
          <w:rFonts w:ascii="Times New Roman" w:hAnsi="Times New Roman" w:cs="Times New Roman"/>
          <w:sz w:val="24"/>
          <w:szCs w:val="24"/>
        </w:rPr>
        <w:t>Perth Amboy</w:t>
      </w:r>
      <w:r>
        <w:rPr>
          <w:rFonts w:ascii="Times New Roman" w:hAnsi="Times New Roman" w:cs="Times New Roman"/>
          <w:sz w:val="24"/>
          <w:szCs w:val="24"/>
        </w:rPr>
        <w:t xml:space="preserve"> (the City)</w:t>
      </w:r>
      <w:r w:rsidR="00690860">
        <w:rPr>
          <w:rFonts w:ascii="Times New Roman" w:hAnsi="Times New Roman" w:cs="Times New Roman"/>
          <w:sz w:val="24"/>
          <w:szCs w:val="24"/>
        </w:rPr>
        <w:t xml:space="preserve"> </w:t>
      </w:r>
      <w:r w:rsidR="006042F7">
        <w:rPr>
          <w:rFonts w:ascii="Times New Roman" w:hAnsi="Times New Roman" w:cs="Times New Roman"/>
          <w:sz w:val="24"/>
          <w:szCs w:val="24"/>
        </w:rPr>
        <w:t>undertook the construction of a municipal complex. Rather than hire a general contractor, it chose to have its business administrator serve as project manager and contemporaneously award contracts.</w:t>
      </w:r>
      <w:r w:rsidR="006042F7">
        <w:rPr>
          <w:rStyle w:val="FootnoteReference"/>
          <w:rFonts w:ascii="Times New Roman" w:hAnsi="Times New Roman" w:cs="Times New Roman"/>
          <w:sz w:val="24"/>
          <w:szCs w:val="24"/>
        </w:rPr>
        <w:footnoteReference w:id="1"/>
      </w:r>
      <w:r w:rsidR="006042F7">
        <w:rPr>
          <w:rFonts w:ascii="Times New Roman" w:hAnsi="Times New Roman" w:cs="Times New Roman"/>
          <w:sz w:val="24"/>
          <w:szCs w:val="24"/>
        </w:rPr>
        <w:t xml:space="preserve"> </w:t>
      </w:r>
      <w:r>
        <w:rPr>
          <w:rFonts w:ascii="Times New Roman" w:hAnsi="Times New Roman" w:cs="Times New Roman"/>
          <w:sz w:val="24"/>
          <w:szCs w:val="24"/>
        </w:rPr>
        <w:t>When the process became delayed it instead awarded contracts seriatim, even though some plans and specifications were incomplete.</w:t>
      </w:r>
      <w:r>
        <w:rPr>
          <w:rStyle w:val="FootnoteReference"/>
          <w:rFonts w:ascii="Times New Roman" w:hAnsi="Times New Roman" w:cs="Times New Roman"/>
          <w:sz w:val="24"/>
          <w:szCs w:val="24"/>
        </w:rPr>
        <w:footnoteReference w:id="2"/>
      </w:r>
    </w:p>
    <w:p w14:paraId="5B184589" w14:textId="28638B1E" w:rsidR="00690860" w:rsidRDefault="00F16EC5" w:rsidP="00690860">
      <w:pPr>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The City</w:t>
      </w:r>
      <w:r w:rsidR="006042F7">
        <w:rPr>
          <w:rFonts w:ascii="Times New Roman" w:hAnsi="Times New Roman" w:cs="Times New Roman"/>
          <w:sz w:val="24"/>
          <w:szCs w:val="24"/>
        </w:rPr>
        <w:t xml:space="preserve"> </w:t>
      </w:r>
      <w:r w:rsidR="00690860">
        <w:rPr>
          <w:rFonts w:ascii="Times New Roman" w:hAnsi="Times New Roman" w:cs="Times New Roman"/>
          <w:sz w:val="24"/>
          <w:szCs w:val="24"/>
        </w:rPr>
        <w:t xml:space="preserve">awarded contracts to multiple </w:t>
      </w:r>
      <w:r w:rsidR="006042F7">
        <w:rPr>
          <w:rFonts w:ascii="Times New Roman" w:hAnsi="Times New Roman" w:cs="Times New Roman"/>
          <w:sz w:val="24"/>
          <w:szCs w:val="24"/>
        </w:rPr>
        <w:t>prime contractors,</w:t>
      </w:r>
      <w:r w:rsidR="00690860">
        <w:rPr>
          <w:rFonts w:ascii="Times New Roman" w:hAnsi="Times New Roman" w:cs="Times New Roman"/>
          <w:sz w:val="24"/>
          <w:szCs w:val="24"/>
        </w:rPr>
        <w:t xml:space="preserve"> includ</w:t>
      </w:r>
      <w:r w:rsidR="006042F7">
        <w:rPr>
          <w:rFonts w:ascii="Times New Roman" w:hAnsi="Times New Roman" w:cs="Times New Roman"/>
          <w:sz w:val="24"/>
          <w:szCs w:val="24"/>
        </w:rPr>
        <w:t>ing</w:t>
      </w:r>
      <w:r w:rsidR="00690860">
        <w:rPr>
          <w:rFonts w:ascii="Times New Roman" w:hAnsi="Times New Roman" w:cs="Times New Roman"/>
          <w:sz w:val="24"/>
          <w:szCs w:val="24"/>
        </w:rPr>
        <w:t xml:space="preserve"> </w:t>
      </w:r>
      <w:r w:rsidR="003030E6">
        <w:rPr>
          <w:rFonts w:ascii="Times New Roman" w:hAnsi="Times New Roman" w:cs="Times New Roman"/>
          <w:sz w:val="24"/>
          <w:szCs w:val="24"/>
        </w:rPr>
        <w:t>the architect</w:t>
      </w:r>
      <w:r>
        <w:rPr>
          <w:rFonts w:ascii="Times New Roman" w:hAnsi="Times New Roman" w:cs="Times New Roman"/>
          <w:sz w:val="24"/>
          <w:szCs w:val="24"/>
        </w:rPr>
        <w:t xml:space="preserve"> </w:t>
      </w:r>
      <w:r w:rsidR="00690860">
        <w:rPr>
          <w:rFonts w:ascii="Times New Roman" w:hAnsi="Times New Roman" w:cs="Times New Roman"/>
          <w:sz w:val="24"/>
          <w:szCs w:val="24"/>
        </w:rPr>
        <w:t>(</w:t>
      </w:r>
      <w:proofErr w:type="spellStart"/>
      <w:r w:rsidR="00690860">
        <w:rPr>
          <w:rFonts w:ascii="Times New Roman" w:hAnsi="Times New Roman" w:cs="Times New Roman"/>
          <w:sz w:val="24"/>
          <w:szCs w:val="24"/>
        </w:rPr>
        <w:t>Zemsky</w:t>
      </w:r>
      <w:proofErr w:type="spellEnd"/>
      <w:r w:rsidR="00690860">
        <w:rPr>
          <w:rFonts w:ascii="Times New Roman" w:hAnsi="Times New Roman" w:cs="Times New Roman"/>
          <w:sz w:val="24"/>
          <w:szCs w:val="24"/>
        </w:rPr>
        <w:t>), Imperial Construction Group (Imperial), Interstate Industrial Corp. (Interstate), and TAK Construction Co. (TAK), with Safeco Insurance Company of America (Safeco) serving as TAK’s surety, and LX Specialty Insurance Company (LX) as Interstate’s surety.</w:t>
      </w:r>
      <w:r w:rsidR="00690860">
        <w:rPr>
          <w:rStyle w:val="FootnoteReference"/>
          <w:rFonts w:cs="Times New Roman"/>
          <w:sz w:val="24"/>
          <w:szCs w:val="24"/>
        </w:rPr>
        <w:footnoteReference w:id="3"/>
      </w:r>
      <w:r w:rsidR="00690860">
        <w:rPr>
          <w:rFonts w:ascii="Times New Roman" w:hAnsi="Times New Roman" w:cs="Times New Roman"/>
          <w:sz w:val="24"/>
          <w:szCs w:val="24"/>
        </w:rPr>
        <w:t xml:space="preserve"> </w:t>
      </w:r>
      <w:r w:rsidR="00120D58">
        <w:rPr>
          <w:rFonts w:ascii="Times New Roman" w:hAnsi="Times New Roman" w:cs="Times New Roman"/>
          <w:sz w:val="24"/>
          <w:szCs w:val="24"/>
        </w:rPr>
        <w:t xml:space="preserve">Interstate’s contract specified that additional time for completion was its only relief against the City, </w:t>
      </w:r>
      <w:proofErr w:type="spellStart"/>
      <w:r w:rsidR="00120D58">
        <w:rPr>
          <w:rFonts w:ascii="Times New Roman" w:hAnsi="Times New Roman" w:cs="Times New Roman"/>
          <w:sz w:val="24"/>
          <w:szCs w:val="24"/>
        </w:rPr>
        <w:t>Zemsky</w:t>
      </w:r>
      <w:proofErr w:type="spellEnd"/>
      <w:r w:rsidR="00120D58">
        <w:rPr>
          <w:rFonts w:ascii="Times New Roman" w:hAnsi="Times New Roman" w:cs="Times New Roman"/>
          <w:sz w:val="24"/>
          <w:szCs w:val="24"/>
        </w:rPr>
        <w:t>, Imperial, or other contractors for the results of any delay.</w:t>
      </w:r>
      <w:r w:rsidR="00120D58">
        <w:rPr>
          <w:rStyle w:val="FootnoteReference"/>
          <w:rFonts w:ascii="Times New Roman" w:hAnsi="Times New Roman" w:cs="Times New Roman"/>
          <w:sz w:val="24"/>
          <w:szCs w:val="24"/>
        </w:rPr>
        <w:footnoteReference w:id="4"/>
      </w:r>
      <w:r w:rsidR="00120D58">
        <w:rPr>
          <w:rFonts w:ascii="Times New Roman" w:hAnsi="Times New Roman" w:cs="Times New Roman"/>
          <w:sz w:val="24"/>
          <w:szCs w:val="24"/>
        </w:rPr>
        <w:t xml:space="preserve"> Similarly, </w:t>
      </w:r>
      <w:r w:rsidR="00690860">
        <w:rPr>
          <w:rFonts w:ascii="Times New Roman" w:hAnsi="Times New Roman" w:cs="Times New Roman"/>
          <w:sz w:val="24"/>
          <w:szCs w:val="24"/>
        </w:rPr>
        <w:t xml:space="preserve">TAK’s contract contained a provision waiving delay damages for costs arising from Imperial’s direction, and acknowledged that its sole remedy against the City, </w:t>
      </w:r>
      <w:proofErr w:type="spellStart"/>
      <w:r w:rsidR="00690860">
        <w:rPr>
          <w:rFonts w:ascii="Times New Roman" w:hAnsi="Times New Roman" w:cs="Times New Roman"/>
          <w:sz w:val="24"/>
          <w:szCs w:val="24"/>
        </w:rPr>
        <w:t>Zemsky</w:t>
      </w:r>
      <w:proofErr w:type="spellEnd"/>
      <w:r w:rsidR="00690860">
        <w:rPr>
          <w:rFonts w:ascii="Times New Roman" w:hAnsi="Times New Roman" w:cs="Times New Roman"/>
          <w:sz w:val="24"/>
          <w:szCs w:val="24"/>
        </w:rPr>
        <w:t>, or Imperial for delays resulting from their</w:t>
      </w:r>
      <w:r w:rsidR="006774D4">
        <w:rPr>
          <w:rFonts w:ascii="Times New Roman" w:hAnsi="Times New Roman" w:cs="Times New Roman"/>
          <w:sz w:val="24"/>
          <w:szCs w:val="24"/>
        </w:rPr>
        <w:t xml:space="preserve"> negligence</w:t>
      </w:r>
      <w:r w:rsidR="00120D58">
        <w:rPr>
          <w:rFonts w:ascii="Times New Roman" w:hAnsi="Times New Roman" w:cs="Times New Roman"/>
          <w:sz w:val="24"/>
          <w:szCs w:val="24"/>
        </w:rPr>
        <w:t>, or another contractor’s</w:t>
      </w:r>
      <w:r w:rsidR="00690860">
        <w:rPr>
          <w:rFonts w:ascii="Times New Roman" w:hAnsi="Times New Roman" w:cs="Times New Roman"/>
          <w:sz w:val="24"/>
          <w:szCs w:val="24"/>
        </w:rPr>
        <w:t xml:space="preserve"> negligence</w:t>
      </w:r>
      <w:r w:rsidR="006774D4">
        <w:rPr>
          <w:rFonts w:ascii="Times New Roman" w:hAnsi="Times New Roman" w:cs="Times New Roman"/>
          <w:sz w:val="24"/>
          <w:szCs w:val="24"/>
        </w:rPr>
        <w:t>,</w:t>
      </w:r>
      <w:r w:rsidR="00690860">
        <w:rPr>
          <w:rFonts w:ascii="Times New Roman" w:hAnsi="Times New Roman" w:cs="Times New Roman"/>
          <w:sz w:val="24"/>
          <w:szCs w:val="24"/>
        </w:rPr>
        <w:t xml:space="preserve"> would be an extension of time.</w:t>
      </w:r>
      <w:r w:rsidR="00690860">
        <w:rPr>
          <w:rStyle w:val="FootnoteReference"/>
          <w:rFonts w:cs="Times New Roman"/>
          <w:sz w:val="24"/>
          <w:szCs w:val="24"/>
        </w:rPr>
        <w:footnoteReference w:id="5"/>
      </w:r>
    </w:p>
    <w:p w14:paraId="4D308557" w14:textId="0398C84E" w:rsidR="00690860" w:rsidRDefault="00690860" w:rsidP="00690860">
      <w:pPr>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project quickly fell behind schedule, </w:t>
      </w:r>
      <w:r w:rsidR="006774D4">
        <w:rPr>
          <w:rFonts w:ascii="Times New Roman" w:hAnsi="Times New Roman" w:cs="Times New Roman"/>
          <w:sz w:val="24"/>
          <w:szCs w:val="24"/>
        </w:rPr>
        <w:t>and the City terminated TAK’s contract in May 2007</w:t>
      </w:r>
      <w:r>
        <w:rPr>
          <w:rFonts w:ascii="Times New Roman" w:hAnsi="Times New Roman" w:cs="Times New Roman"/>
          <w:sz w:val="24"/>
          <w:szCs w:val="24"/>
        </w:rPr>
        <w:t>.</w:t>
      </w:r>
      <w:r>
        <w:rPr>
          <w:rStyle w:val="FootnoteReference"/>
          <w:rFonts w:cs="Times New Roman"/>
          <w:sz w:val="24"/>
          <w:szCs w:val="24"/>
        </w:rPr>
        <w:footnoteReference w:id="6"/>
      </w:r>
      <w:r>
        <w:rPr>
          <w:rFonts w:ascii="Times New Roman" w:hAnsi="Times New Roman" w:cs="Times New Roman"/>
          <w:sz w:val="24"/>
          <w:szCs w:val="24"/>
        </w:rPr>
        <w:t xml:space="preserve"> </w:t>
      </w:r>
      <w:r w:rsidR="006774D4">
        <w:rPr>
          <w:rFonts w:ascii="Times New Roman" w:hAnsi="Times New Roman" w:cs="Times New Roman"/>
          <w:sz w:val="24"/>
          <w:szCs w:val="24"/>
        </w:rPr>
        <w:t>Safeco assumed TAK’s contractual responsibilities and completed the project.</w:t>
      </w:r>
      <w:r w:rsidR="00FF33D6">
        <w:rPr>
          <w:rStyle w:val="FootnoteReference"/>
          <w:rFonts w:ascii="Times New Roman" w:hAnsi="Times New Roman" w:cs="Times New Roman"/>
          <w:sz w:val="24"/>
          <w:szCs w:val="24"/>
        </w:rPr>
        <w:footnoteReference w:id="7"/>
      </w:r>
      <w:r w:rsidR="006774D4">
        <w:rPr>
          <w:rFonts w:ascii="Times New Roman" w:hAnsi="Times New Roman" w:cs="Times New Roman"/>
          <w:sz w:val="24"/>
          <w:szCs w:val="24"/>
        </w:rPr>
        <w:t xml:space="preserve"> The City then terminated Interstate’s contract in September 2008, and another contractor finished Interstate’s remaining work.</w:t>
      </w:r>
      <w:r w:rsidR="00FF33D6">
        <w:rPr>
          <w:rStyle w:val="FootnoteReference"/>
          <w:rFonts w:ascii="Times New Roman" w:hAnsi="Times New Roman" w:cs="Times New Roman"/>
          <w:sz w:val="24"/>
          <w:szCs w:val="24"/>
        </w:rPr>
        <w:footnoteReference w:id="8"/>
      </w:r>
      <w:r w:rsidR="006774D4">
        <w:rPr>
          <w:rFonts w:ascii="Times New Roman" w:hAnsi="Times New Roman" w:cs="Times New Roman"/>
          <w:sz w:val="24"/>
          <w:szCs w:val="24"/>
        </w:rPr>
        <w:t xml:space="preserve"> After a bench trial in 2014, the c</w:t>
      </w:r>
      <w:r>
        <w:rPr>
          <w:rFonts w:ascii="Times New Roman" w:hAnsi="Times New Roman" w:cs="Times New Roman"/>
          <w:sz w:val="24"/>
          <w:szCs w:val="24"/>
        </w:rPr>
        <w:t>ourt entered final judgment in favor of the City against Interstate, judgment against the City</w:t>
      </w:r>
      <w:r w:rsidRPr="00690860">
        <w:rPr>
          <w:rFonts w:ascii="Times New Roman" w:hAnsi="Times New Roman" w:cs="Times New Roman"/>
          <w:sz w:val="24"/>
          <w:szCs w:val="24"/>
        </w:rPr>
        <w:t xml:space="preserve"> </w:t>
      </w:r>
      <w:r>
        <w:rPr>
          <w:rFonts w:ascii="Times New Roman" w:hAnsi="Times New Roman" w:cs="Times New Roman"/>
          <w:sz w:val="24"/>
          <w:szCs w:val="24"/>
        </w:rPr>
        <w:t xml:space="preserve">for Safeco, and judgments of no cause on </w:t>
      </w:r>
      <w:r>
        <w:rPr>
          <w:rFonts w:ascii="Times New Roman" w:hAnsi="Times New Roman" w:cs="Times New Roman"/>
          <w:sz w:val="24"/>
          <w:szCs w:val="24"/>
        </w:rPr>
        <w:lastRenderedPageBreak/>
        <w:t>Safeco’s counterclaim for improper termination of TAK and delay damages against the City.</w:t>
      </w:r>
      <w:r>
        <w:rPr>
          <w:rStyle w:val="FootnoteReference"/>
          <w:rFonts w:cs="Times New Roman"/>
          <w:sz w:val="24"/>
          <w:szCs w:val="24"/>
        </w:rPr>
        <w:footnoteReference w:id="9"/>
      </w:r>
      <w:r>
        <w:rPr>
          <w:rFonts w:ascii="Times New Roman" w:hAnsi="Times New Roman" w:cs="Times New Roman"/>
          <w:sz w:val="24"/>
          <w:szCs w:val="24"/>
        </w:rPr>
        <w:t xml:space="preserve"> The trial court found that the exculpatory clause that limited TAK’s remedy to an extension of time also extended the protections of the City “to the negligence of its retained professionals.”</w:t>
      </w:r>
      <w:r w:rsidR="00D210DC">
        <w:rPr>
          <w:rStyle w:val="FootnoteReference"/>
          <w:rFonts w:ascii="Times New Roman" w:hAnsi="Times New Roman" w:cs="Times New Roman"/>
          <w:sz w:val="24"/>
          <w:szCs w:val="24"/>
        </w:rPr>
        <w:footnoteReference w:id="10"/>
      </w:r>
      <w:r>
        <w:rPr>
          <w:rFonts w:ascii="Times New Roman" w:hAnsi="Times New Roman" w:cs="Times New Roman"/>
          <w:sz w:val="24"/>
          <w:szCs w:val="24"/>
        </w:rPr>
        <w:t xml:space="preserve"> Although contractor </w:t>
      </w:r>
      <w:proofErr w:type="spellStart"/>
      <w:r>
        <w:rPr>
          <w:rFonts w:ascii="Times New Roman" w:hAnsi="Times New Roman" w:cs="Times New Roman"/>
          <w:sz w:val="24"/>
          <w:szCs w:val="24"/>
        </w:rPr>
        <w:t>Zemsky</w:t>
      </w:r>
      <w:proofErr w:type="spellEnd"/>
      <w:r>
        <w:rPr>
          <w:rFonts w:ascii="Times New Roman" w:hAnsi="Times New Roman" w:cs="Times New Roman"/>
          <w:sz w:val="24"/>
          <w:szCs w:val="24"/>
        </w:rPr>
        <w:t xml:space="preserve"> was negligent, the City’s misplaced belief that </w:t>
      </w:r>
      <w:proofErr w:type="spellStart"/>
      <w:r>
        <w:rPr>
          <w:rFonts w:ascii="Times New Roman" w:hAnsi="Times New Roman" w:cs="Times New Roman"/>
          <w:sz w:val="24"/>
          <w:szCs w:val="24"/>
        </w:rPr>
        <w:t>Zemsky</w:t>
      </w:r>
      <w:proofErr w:type="spellEnd"/>
      <w:r>
        <w:rPr>
          <w:rFonts w:ascii="Times New Roman" w:hAnsi="Times New Roman" w:cs="Times New Roman"/>
          <w:sz w:val="24"/>
          <w:szCs w:val="24"/>
        </w:rPr>
        <w:t xml:space="preserve"> was acting properly was not based on bad faith or unfair dealing, and therefore the exculpatory clause was enforceable</w:t>
      </w:r>
      <w:r w:rsidR="00D41208">
        <w:rPr>
          <w:rFonts w:ascii="Times New Roman" w:hAnsi="Times New Roman" w:cs="Times New Roman"/>
          <w:sz w:val="24"/>
          <w:szCs w:val="24"/>
        </w:rPr>
        <w:t>.</w:t>
      </w:r>
      <w:r w:rsidR="00D41208">
        <w:rPr>
          <w:rStyle w:val="FootnoteReference"/>
          <w:rFonts w:ascii="Times New Roman" w:hAnsi="Times New Roman" w:cs="Times New Roman"/>
          <w:sz w:val="24"/>
          <w:szCs w:val="24"/>
        </w:rPr>
        <w:footnoteReference w:id="11"/>
      </w:r>
      <w:r>
        <w:rPr>
          <w:rFonts w:ascii="Times New Roman" w:hAnsi="Times New Roman" w:cs="Times New Roman"/>
          <w:sz w:val="24"/>
          <w:szCs w:val="24"/>
        </w:rPr>
        <w:t xml:space="preserve"> TAK was not entitled to delay damages.</w:t>
      </w:r>
      <w:r>
        <w:rPr>
          <w:rStyle w:val="FootnoteReference"/>
          <w:rFonts w:cs="Times New Roman"/>
          <w:sz w:val="24"/>
          <w:szCs w:val="24"/>
        </w:rPr>
        <w:footnoteReference w:id="12"/>
      </w:r>
    </w:p>
    <w:p w14:paraId="74A31E05" w14:textId="3F7BF985" w:rsidR="00690860" w:rsidRDefault="00634139" w:rsidP="00690860">
      <w:pPr>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On appeal, both Safeco and Interstate argued that it was error to enforce the exculpatory clauses</w:t>
      </w:r>
      <w:r w:rsidR="00690860">
        <w:rPr>
          <w:rFonts w:ascii="Times New Roman" w:hAnsi="Times New Roman" w:cs="Times New Roman"/>
          <w:sz w:val="24"/>
          <w:szCs w:val="24"/>
        </w:rPr>
        <w:t>.</w:t>
      </w:r>
      <w:r w:rsidR="00690860">
        <w:rPr>
          <w:rStyle w:val="FootnoteReference"/>
          <w:rFonts w:cs="Times New Roman"/>
          <w:sz w:val="24"/>
          <w:szCs w:val="24"/>
        </w:rPr>
        <w:footnoteReference w:id="13"/>
      </w:r>
      <w:r>
        <w:rPr>
          <w:rFonts w:ascii="Times New Roman" w:hAnsi="Times New Roman" w:cs="Times New Roman"/>
          <w:sz w:val="24"/>
          <w:szCs w:val="24"/>
        </w:rPr>
        <w:t xml:space="preserve"> Safeco argued that </w:t>
      </w:r>
      <w:proofErr w:type="spellStart"/>
      <w:r>
        <w:rPr>
          <w:rFonts w:ascii="Times New Roman" w:hAnsi="Times New Roman" w:cs="Times New Roman"/>
          <w:sz w:val="24"/>
          <w:szCs w:val="24"/>
        </w:rPr>
        <w:t>Zemsky’s</w:t>
      </w:r>
      <w:proofErr w:type="spellEnd"/>
      <w:r>
        <w:rPr>
          <w:rFonts w:ascii="Times New Roman" w:hAnsi="Times New Roman" w:cs="Times New Roman"/>
          <w:sz w:val="24"/>
          <w:szCs w:val="24"/>
        </w:rPr>
        <w:t xml:space="preserve"> negligence should have been imputed to the City, there</w:t>
      </w:r>
      <w:r w:rsidR="00A24FE4">
        <w:rPr>
          <w:rFonts w:ascii="Times New Roman" w:hAnsi="Times New Roman" w:cs="Times New Roman"/>
          <w:sz w:val="24"/>
          <w:szCs w:val="24"/>
        </w:rPr>
        <w:t>by</w:t>
      </w:r>
      <w:r>
        <w:rPr>
          <w:rFonts w:ascii="Times New Roman" w:hAnsi="Times New Roman" w:cs="Times New Roman"/>
          <w:sz w:val="24"/>
          <w:szCs w:val="24"/>
        </w:rPr>
        <w:t xml:space="preserve"> precluding enforcement of the clause.</w:t>
      </w:r>
      <w:r>
        <w:rPr>
          <w:rStyle w:val="FootnoteReference"/>
          <w:rFonts w:ascii="Times New Roman" w:hAnsi="Times New Roman" w:cs="Times New Roman"/>
          <w:sz w:val="24"/>
          <w:szCs w:val="24"/>
        </w:rPr>
        <w:footnoteReference w:id="14"/>
      </w:r>
      <w:r>
        <w:rPr>
          <w:rFonts w:ascii="Times New Roman" w:hAnsi="Times New Roman" w:cs="Times New Roman"/>
          <w:sz w:val="24"/>
          <w:szCs w:val="24"/>
        </w:rPr>
        <w:t xml:space="preserve"> Interstate</w:t>
      </w:r>
      <w:r w:rsidR="00F94899">
        <w:rPr>
          <w:rFonts w:ascii="Times New Roman" w:hAnsi="Times New Roman" w:cs="Times New Roman"/>
          <w:sz w:val="24"/>
          <w:szCs w:val="24"/>
        </w:rPr>
        <w:t xml:space="preserve"> </w:t>
      </w:r>
      <w:r>
        <w:rPr>
          <w:rFonts w:ascii="Times New Roman" w:hAnsi="Times New Roman" w:cs="Times New Roman"/>
          <w:sz w:val="24"/>
          <w:szCs w:val="24"/>
        </w:rPr>
        <w:t>cit</w:t>
      </w:r>
      <w:r w:rsidR="00F93F48">
        <w:rPr>
          <w:rFonts w:ascii="Times New Roman" w:hAnsi="Times New Roman" w:cs="Times New Roman"/>
          <w:sz w:val="24"/>
          <w:szCs w:val="24"/>
        </w:rPr>
        <w:t>ed</w:t>
      </w:r>
      <w:r>
        <w:rPr>
          <w:rFonts w:ascii="Times New Roman" w:hAnsi="Times New Roman" w:cs="Times New Roman"/>
          <w:sz w:val="24"/>
          <w:szCs w:val="24"/>
        </w:rPr>
        <w:t xml:space="preserve"> the City’s bad faith in endeavoring to avoid the consequences of </w:t>
      </w:r>
      <w:proofErr w:type="spellStart"/>
      <w:r>
        <w:rPr>
          <w:rFonts w:ascii="Times New Roman" w:hAnsi="Times New Roman" w:cs="Times New Roman"/>
          <w:sz w:val="24"/>
          <w:szCs w:val="24"/>
        </w:rPr>
        <w:t>Zemsky’s</w:t>
      </w:r>
      <w:proofErr w:type="spellEnd"/>
      <w:r>
        <w:rPr>
          <w:rFonts w:ascii="Times New Roman" w:hAnsi="Times New Roman" w:cs="Times New Roman"/>
          <w:sz w:val="24"/>
          <w:szCs w:val="24"/>
        </w:rPr>
        <w:t xml:space="preserve"> negligence</w:t>
      </w:r>
      <w:r w:rsidR="00A24FE4">
        <w:rPr>
          <w:rFonts w:ascii="Times New Roman" w:hAnsi="Times New Roman" w:cs="Times New Roman"/>
          <w:sz w:val="24"/>
          <w:szCs w:val="24"/>
        </w:rPr>
        <w:t>.</w:t>
      </w:r>
      <w:r w:rsidR="00D41208">
        <w:rPr>
          <w:rStyle w:val="FootnoteReference"/>
          <w:rFonts w:ascii="Times New Roman" w:hAnsi="Times New Roman" w:cs="Times New Roman"/>
          <w:sz w:val="24"/>
          <w:szCs w:val="24"/>
        </w:rPr>
        <w:footnoteReference w:id="15"/>
      </w:r>
      <w:r w:rsidR="00A24FE4">
        <w:rPr>
          <w:rFonts w:ascii="Times New Roman" w:hAnsi="Times New Roman" w:cs="Times New Roman"/>
          <w:sz w:val="24"/>
          <w:szCs w:val="24"/>
        </w:rPr>
        <w:t xml:space="preserve"> A</w:t>
      </w:r>
      <w:r>
        <w:rPr>
          <w:rFonts w:ascii="Times New Roman" w:hAnsi="Times New Roman" w:cs="Times New Roman"/>
          <w:sz w:val="24"/>
          <w:szCs w:val="24"/>
        </w:rPr>
        <w:t>s well</w:t>
      </w:r>
      <w:r w:rsidR="00A24FE4">
        <w:rPr>
          <w:rFonts w:ascii="Times New Roman" w:hAnsi="Times New Roman" w:cs="Times New Roman"/>
          <w:sz w:val="24"/>
          <w:szCs w:val="24"/>
        </w:rPr>
        <w:t>, it argued that</w:t>
      </w:r>
      <w:r>
        <w:rPr>
          <w:rFonts w:ascii="Times New Roman" w:hAnsi="Times New Roman" w:cs="Times New Roman"/>
          <w:sz w:val="24"/>
          <w:szCs w:val="24"/>
        </w:rPr>
        <w:t xml:space="preserve"> the City’s decision to award contracts without complete plans</w:t>
      </w:r>
      <w:r w:rsidR="00A24FE4">
        <w:rPr>
          <w:rFonts w:ascii="Times New Roman" w:hAnsi="Times New Roman" w:cs="Times New Roman"/>
          <w:sz w:val="24"/>
          <w:szCs w:val="24"/>
        </w:rPr>
        <w:t xml:space="preserve"> was an independent source of negligence.</w:t>
      </w:r>
      <w:r w:rsidR="00D41208">
        <w:rPr>
          <w:rStyle w:val="FootnoteReference"/>
          <w:rFonts w:ascii="Times New Roman" w:hAnsi="Times New Roman" w:cs="Times New Roman"/>
          <w:sz w:val="24"/>
          <w:szCs w:val="24"/>
        </w:rPr>
        <w:footnoteReference w:id="16"/>
      </w:r>
    </w:p>
    <w:p w14:paraId="5D90F674" w14:textId="08B5D2FE" w:rsidR="00690860" w:rsidRDefault="00690860" w:rsidP="00690860">
      <w:pPr>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Appellate Division affirmed the trial court’s </w:t>
      </w:r>
      <w:r w:rsidR="00A24FE4">
        <w:rPr>
          <w:rFonts w:ascii="Times New Roman" w:hAnsi="Times New Roman" w:cs="Times New Roman"/>
          <w:sz w:val="24"/>
          <w:szCs w:val="24"/>
        </w:rPr>
        <w:t>upholding</w:t>
      </w:r>
      <w:r>
        <w:rPr>
          <w:rFonts w:ascii="Times New Roman" w:hAnsi="Times New Roman" w:cs="Times New Roman"/>
          <w:sz w:val="24"/>
          <w:szCs w:val="24"/>
        </w:rPr>
        <w:t xml:space="preserve"> of the exculpatory clause on grounds that contractor </w:t>
      </w:r>
      <w:proofErr w:type="spellStart"/>
      <w:r>
        <w:rPr>
          <w:rFonts w:ascii="Times New Roman" w:hAnsi="Times New Roman" w:cs="Times New Roman"/>
          <w:sz w:val="24"/>
          <w:szCs w:val="24"/>
        </w:rPr>
        <w:t>Zemsky’s</w:t>
      </w:r>
      <w:proofErr w:type="spellEnd"/>
      <w:r>
        <w:rPr>
          <w:rFonts w:ascii="Times New Roman" w:hAnsi="Times New Roman" w:cs="Times New Roman"/>
          <w:sz w:val="24"/>
          <w:szCs w:val="24"/>
        </w:rPr>
        <w:t xml:space="preserve"> negligence could not be imputed to the City under N.J.S. 40A:11-19.</w:t>
      </w:r>
      <w:r>
        <w:rPr>
          <w:rStyle w:val="FootnoteReference"/>
          <w:rFonts w:cs="Times New Roman"/>
          <w:sz w:val="24"/>
          <w:szCs w:val="24"/>
        </w:rPr>
        <w:footnoteReference w:id="17"/>
      </w:r>
    </w:p>
    <w:p w14:paraId="449367F0" w14:textId="19971186" w:rsidR="00690860" w:rsidRPr="008E73B1" w:rsidRDefault="00783618" w:rsidP="005A6F19">
      <w:pPr>
        <w:spacing w:line="276" w:lineRule="auto"/>
        <w:jc w:val="center"/>
        <w:rPr>
          <w:rFonts w:ascii="Times New Roman" w:hAnsi="Times New Roman" w:cs="Times New Roman"/>
          <w:sz w:val="24"/>
          <w:szCs w:val="24"/>
        </w:rPr>
      </w:pPr>
      <w:r>
        <w:rPr>
          <w:rFonts w:ascii="Times New Roman" w:hAnsi="Times New Roman" w:cs="Times New Roman"/>
          <w:b/>
          <w:sz w:val="24"/>
          <w:szCs w:val="24"/>
        </w:rPr>
        <w:t xml:space="preserve">Local Public Contracts </w:t>
      </w:r>
      <w:r w:rsidR="00C31431">
        <w:rPr>
          <w:rFonts w:ascii="Times New Roman" w:hAnsi="Times New Roman" w:cs="Times New Roman"/>
          <w:b/>
          <w:sz w:val="24"/>
          <w:szCs w:val="24"/>
        </w:rPr>
        <w:t>Law</w:t>
      </w:r>
      <w:r>
        <w:rPr>
          <w:rFonts w:ascii="Times New Roman" w:hAnsi="Times New Roman" w:cs="Times New Roman"/>
          <w:b/>
          <w:sz w:val="24"/>
          <w:szCs w:val="24"/>
        </w:rPr>
        <w:t xml:space="preserve">, N.J.S. 40A:11-1 </w:t>
      </w:r>
      <w:r w:rsidR="000C0ADD">
        <w:rPr>
          <w:rFonts w:ascii="Times New Roman" w:hAnsi="Times New Roman" w:cs="Times New Roman"/>
          <w:b/>
          <w:sz w:val="24"/>
          <w:szCs w:val="24"/>
        </w:rPr>
        <w:t>et seq.</w:t>
      </w:r>
    </w:p>
    <w:p w14:paraId="7369DFED" w14:textId="6A1ECA8C" w:rsidR="00A24FE4" w:rsidRDefault="00A24FE4" w:rsidP="000C0ADD">
      <w:pPr>
        <w:spacing w:after="0" w:line="276" w:lineRule="auto"/>
        <w:ind w:firstLine="720"/>
        <w:jc w:val="both"/>
        <w:rPr>
          <w:rFonts w:ascii="Times New Roman" w:hAnsi="Times New Roman"/>
          <w:sz w:val="24"/>
          <w:szCs w:val="24"/>
        </w:rPr>
      </w:pPr>
      <w:r w:rsidRPr="008C2DFA">
        <w:rPr>
          <w:rFonts w:ascii="Times New Roman" w:hAnsi="Times New Roman"/>
          <w:i/>
          <w:sz w:val="24"/>
          <w:szCs w:val="24"/>
        </w:rPr>
        <w:t>City of Perth Amboy</w:t>
      </w:r>
      <w:r w:rsidRPr="008C2DFA">
        <w:rPr>
          <w:rFonts w:ascii="Times New Roman" w:hAnsi="Times New Roman"/>
          <w:sz w:val="24"/>
          <w:szCs w:val="24"/>
        </w:rPr>
        <w:t xml:space="preserve"> considered imputed negligence in the context of the Local Public Contracts </w:t>
      </w:r>
      <w:r w:rsidR="00C31431">
        <w:rPr>
          <w:rFonts w:ascii="Times New Roman" w:hAnsi="Times New Roman"/>
          <w:sz w:val="24"/>
          <w:szCs w:val="24"/>
        </w:rPr>
        <w:t>Law</w:t>
      </w:r>
      <w:r w:rsidRPr="008C2DFA">
        <w:rPr>
          <w:rFonts w:ascii="Times New Roman" w:hAnsi="Times New Roman"/>
          <w:sz w:val="24"/>
          <w:szCs w:val="24"/>
        </w:rPr>
        <w:t xml:space="preserve"> (“LPC</w:t>
      </w:r>
      <w:r w:rsidR="00C31431">
        <w:rPr>
          <w:rFonts w:ascii="Times New Roman" w:hAnsi="Times New Roman"/>
          <w:sz w:val="24"/>
          <w:szCs w:val="24"/>
        </w:rPr>
        <w:t>L</w:t>
      </w:r>
      <w:r w:rsidRPr="008C2DFA">
        <w:rPr>
          <w:rFonts w:ascii="Times New Roman" w:hAnsi="Times New Roman"/>
          <w:sz w:val="24"/>
          <w:szCs w:val="24"/>
        </w:rPr>
        <w:t>”), N.J.S. 40A:11-19, as follows:</w:t>
      </w:r>
    </w:p>
    <w:p w14:paraId="2E1F4CCE" w14:textId="77777777" w:rsidR="001A4D47" w:rsidRPr="008C2DFA" w:rsidRDefault="001A4D47" w:rsidP="000C0ADD">
      <w:pPr>
        <w:spacing w:after="0" w:line="276" w:lineRule="auto"/>
        <w:ind w:firstLine="720"/>
        <w:jc w:val="both"/>
        <w:rPr>
          <w:rFonts w:ascii="Times New Roman" w:hAnsi="Times New Roman"/>
          <w:sz w:val="24"/>
          <w:szCs w:val="24"/>
        </w:rPr>
      </w:pPr>
    </w:p>
    <w:p w14:paraId="58472464" w14:textId="77777777" w:rsidR="00A24FE4" w:rsidRDefault="00A24FE4" w:rsidP="005A6F19">
      <w:pPr>
        <w:spacing w:line="276" w:lineRule="auto"/>
        <w:ind w:left="720" w:right="720"/>
        <w:jc w:val="both"/>
        <w:rPr>
          <w:rFonts w:ascii="Times New Roman" w:hAnsi="Times New Roman"/>
          <w:b/>
          <w:sz w:val="24"/>
          <w:szCs w:val="24"/>
        </w:rPr>
      </w:pPr>
      <w:r w:rsidRPr="008C2DFA">
        <w:rPr>
          <w:rFonts w:ascii="Times New Roman" w:hAnsi="Times New Roman"/>
          <w:b/>
          <w:sz w:val="24"/>
          <w:szCs w:val="24"/>
        </w:rPr>
        <w:t>40A: 11-19 Liquidated damages; void provisions as to contractor's remedies</w:t>
      </w:r>
    </w:p>
    <w:p w14:paraId="3C4BF33C" w14:textId="0888FE85" w:rsidR="00A24FE4" w:rsidRPr="008C2DFA" w:rsidRDefault="00A24FE4" w:rsidP="000C0ADD">
      <w:pPr>
        <w:spacing w:after="0" w:line="276" w:lineRule="auto"/>
        <w:ind w:left="720" w:right="720"/>
        <w:jc w:val="both"/>
        <w:rPr>
          <w:rFonts w:ascii="Times New Roman" w:eastAsia="Times New Roman" w:hAnsi="Times New Roman"/>
          <w:color w:val="000000"/>
          <w:sz w:val="24"/>
          <w:szCs w:val="24"/>
        </w:rPr>
      </w:pPr>
      <w:r w:rsidRPr="008C2DFA">
        <w:rPr>
          <w:rFonts w:ascii="Times New Roman" w:eastAsia="Times New Roman" w:hAnsi="Times New Roman"/>
          <w:color w:val="000000"/>
          <w:sz w:val="24"/>
          <w:szCs w:val="24"/>
        </w:rPr>
        <w:t>Any contract made pursuant to P.L.1971, c.198 (C.40A:11-1 et seq.) may include liquidated damages for the violation of any of the terms and conditions thereof or the failure to perform said contract in accordance with its terms and conditions, or the terms and conditions of P.L.1971, c.198 (C.40A:11-1 et seq.).  Notwithstanding any other provision of law to the contrary, it shall be void, unenforceable and against public policy for a provision in a contract entered into under P.L.1971, c.198 (C.40A:11-1 et seq.) to limit a contractor's remedy for the contracting unit's negligence, bad faith, active interference,</w:t>
      </w:r>
      <w:proofErr w:type="gramStart"/>
      <w:r w:rsidRPr="008C2DFA">
        <w:rPr>
          <w:rFonts w:ascii="Times New Roman" w:eastAsia="Times New Roman" w:hAnsi="Times New Roman"/>
          <w:color w:val="000000"/>
          <w:sz w:val="24"/>
          <w:szCs w:val="24"/>
        </w:rPr>
        <w:t>  tortious</w:t>
      </w:r>
      <w:proofErr w:type="gramEnd"/>
      <w:r w:rsidRPr="008C2DFA">
        <w:rPr>
          <w:rFonts w:ascii="Times New Roman" w:eastAsia="Times New Roman" w:hAnsi="Times New Roman"/>
          <w:color w:val="000000"/>
          <w:sz w:val="24"/>
          <w:szCs w:val="24"/>
        </w:rPr>
        <w:t xml:space="preserve"> conduct, or other reasons uncontemplated by the parties that delay the contractor's performance, to giving the contractor an extension of time for performance under the contract.  For the purposes of this section, "contractor" means a person, his assignees or legal </w:t>
      </w:r>
      <w:r w:rsidRPr="008C2DFA">
        <w:rPr>
          <w:rFonts w:ascii="Times New Roman" w:eastAsia="Times New Roman" w:hAnsi="Times New Roman"/>
          <w:color w:val="000000"/>
          <w:sz w:val="24"/>
          <w:szCs w:val="24"/>
        </w:rPr>
        <w:lastRenderedPageBreak/>
        <w:t>representatives with whom a contract with a contracting unit is made.</w:t>
      </w:r>
      <w:r w:rsidRPr="008C2DFA">
        <w:rPr>
          <w:rFonts w:ascii="Times New Roman" w:eastAsia="Times New Roman" w:hAnsi="Times New Roman"/>
          <w:color w:val="000000"/>
          <w:sz w:val="24"/>
          <w:szCs w:val="24"/>
        </w:rPr>
        <w:br/>
      </w:r>
      <w:r w:rsidRPr="008C2DFA">
        <w:rPr>
          <w:rFonts w:ascii="Times New Roman" w:eastAsia="Times New Roman" w:hAnsi="Times New Roman"/>
          <w:color w:val="000000"/>
          <w:sz w:val="24"/>
          <w:szCs w:val="24"/>
        </w:rPr>
        <w:br/>
        <w:t>L.1971, c.198, s.19; amended 1999, c.440, s.28; 2001, c.206, s.1.</w:t>
      </w:r>
    </w:p>
    <w:p w14:paraId="48BF15A5" w14:textId="77777777" w:rsidR="00A24FE4" w:rsidRPr="008C2DFA" w:rsidRDefault="00A24FE4" w:rsidP="000C0ADD">
      <w:pPr>
        <w:spacing w:after="0" w:line="276" w:lineRule="auto"/>
        <w:jc w:val="both"/>
        <w:rPr>
          <w:rFonts w:ascii="Times New Roman" w:hAnsi="Times New Roman"/>
          <w:sz w:val="24"/>
          <w:szCs w:val="24"/>
        </w:rPr>
      </w:pPr>
    </w:p>
    <w:p w14:paraId="65AE3467" w14:textId="6ED91216" w:rsidR="00A24FE4" w:rsidRDefault="00A24FE4" w:rsidP="000C0ADD">
      <w:pPr>
        <w:spacing w:after="0" w:line="276" w:lineRule="auto"/>
        <w:ind w:firstLine="720"/>
        <w:jc w:val="both"/>
        <w:rPr>
          <w:rFonts w:ascii="Times New Roman" w:hAnsi="Times New Roman"/>
          <w:sz w:val="24"/>
          <w:szCs w:val="24"/>
        </w:rPr>
      </w:pPr>
      <w:r w:rsidRPr="008C2DFA">
        <w:rPr>
          <w:rFonts w:ascii="Times New Roman" w:hAnsi="Times New Roman"/>
          <w:sz w:val="24"/>
          <w:szCs w:val="24"/>
        </w:rPr>
        <w:t>Initially, the LPC</w:t>
      </w:r>
      <w:r w:rsidR="008E73B1">
        <w:rPr>
          <w:rFonts w:ascii="Times New Roman" w:hAnsi="Times New Roman"/>
          <w:sz w:val="24"/>
          <w:szCs w:val="24"/>
        </w:rPr>
        <w:t>L</w:t>
      </w:r>
      <w:r w:rsidRPr="008C2DFA">
        <w:rPr>
          <w:rFonts w:ascii="Times New Roman" w:hAnsi="Times New Roman"/>
          <w:sz w:val="24"/>
          <w:szCs w:val="24"/>
        </w:rPr>
        <w:t xml:space="preserve"> allowed publicly bid, local government contracts to include exculpatory clauses that denied delay damages and limited a contractor’s remedy to an extension of time.</w:t>
      </w:r>
      <w:r w:rsidRPr="008C2DFA">
        <w:rPr>
          <w:rStyle w:val="FootnoteReference"/>
          <w:rFonts w:ascii="Times New Roman" w:hAnsi="Times New Roman"/>
          <w:sz w:val="24"/>
          <w:szCs w:val="24"/>
        </w:rPr>
        <w:footnoteReference w:id="18"/>
      </w:r>
      <w:r w:rsidRPr="008C2DFA">
        <w:rPr>
          <w:rFonts w:ascii="Times New Roman" w:hAnsi="Times New Roman"/>
          <w:sz w:val="24"/>
          <w:szCs w:val="24"/>
        </w:rPr>
        <w:t xml:space="preserve"> However, a 2001 amendment voided such clauses in most cases, finding them repugnant to public policy.</w:t>
      </w:r>
      <w:r w:rsidRPr="008C2DFA">
        <w:rPr>
          <w:rStyle w:val="FootnoteReference"/>
          <w:rFonts w:ascii="Times New Roman" w:hAnsi="Times New Roman"/>
          <w:sz w:val="24"/>
          <w:szCs w:val="24"/>
        </w:rPr>
        <w:footnoteReference w:id="19"/>
      </w:r>
      <w:r w:rsidRPr="008C2DFA">
        <w:rPr>
          <w:rFonts w:ascii="Times New Roman" w:hAnsi="Times New Roman"/>
          <w:sz w:val="24"/>
          <w:szCs w:val="24"/>
        </w:rPr>
        <w:t xml:space="preserve"> At the time of this case, the amended provision had yet to be construed. Thus, the Appellate Division considered the plain wording of the statute, as well as legislative intent, before finding that the exculpatory clause was valid because there was no evidence that Perth Amboy</w:t>
      </w:r>
      <w:r w:rsidR="00D41208">
        <w:rPr>
          <w:rFonts w:ascii="Times New Roman" w:hAnsi="Times New Roman"/>
          <w:sz w:val="24"/>
          <w:szCs w:val="24"/>
        </w:rPr>
        <w:t xml:space="preserve"> (the “contracting unit”)</w:t>
      </w:r>
      <w:r w:rsidRPr="008C2DFA">
        <w:rPr>
          <w:rFonts w:ascii="Times New Roman" w:hAnsi="Times New Roman"/>
          <w:sz w:val="24"/>
          <w:szCs w:val="24"/>
        </w:rPr>
        <w:t xml:space="preserve"> was itself negligent. Additionally, the court noted that the Legislature did not intend for a contractor’s negligence to be imputed to the public entity, thus allowing for a form of relief that otherwise would not exist.</w:t>
      </w:r>
    </w:p>
    <w:p w14:paraId="7D94332F" w14:textId="77777777" w:rsidR="001A4D47" w:rsidRPr="008C2DFA" w:rsidRDefault="001A4D47" w:rsidP="000C0ADD">
      <w:pPr>
        <w:spacing w:after="0" w:line="276" w:lineRule="auto"/>
        <w:ind w:firstLine="720"/>
        <w:jc w:val="both"/>
        <w:rPr>
          <w:rFonts w:ascii="Times New Roman" w:hAnsi="Times New Roman"/>
          <w:sz w:val="24"/>
          <w:szCs w:val="24"/>
        </w:rPr>
      </w:pPr>
    </w:p>
    <w:p w14:paraId="6A6B9473" w14:textId="77CE0CBA" w:rsidR="00A24FE4" w:rsidRDefault="00A24FE4" w:rsidP="000C0ADD">
      <w:pPr>
        <w:spacing w:after="0" w:line="276" w:lineRule="auto"/>
        <w:ind w:firstLine="720"/>
        <w:jc w:val="both"/>
        <w:rPr>
          <w:rFonts w:ascii="Times New Roman" w:hAnsi="Times New Roman"/>
          <w:sz w:val="24"/>
          <w:szCs w:val="24"/>
        </w:rPr>
      </w:pPr>
      <w:r w:rsidRPr="008C2DFA">
        <w:rPr>
          <w:rFonts w:ascii="Times New Roman" w:hAnsi="Times New Roman"/>
          <w:sz w:val="24"/>
          <w:szCs w:val="24"/>
        </w:rPr>
        <w:t xml:space="preserve">The amendment was modeled on a 1994 amendment to N.J.S. 2A:58B-3, which also forbids exculpatory clauses </w:t>
      </w:r>
      <w:r w:rsidR="00F16EC5">
        <w:rPr>
          <w:rFonts w:ascii="Times New Roman" w:hAnsi="Times New Roman"/>
          <w:sz w:val="24"/>
          <w:szCs w:val="24"/>
        </w:rPr>
        <w:t>for</w:t>
      </w:r>
      <w:r w:rsidRPr="008C2DFA">
        <w:rPr>
          <w:rFonts w:ascii="Times New Roman" w:hAnsi="Times New Roman"/>
          <w:sz w:val="24"/>
          <w:szCs w:val="24"/>
        </w:rPr>
        <w:t xml:space="preserve"> a public entity that exhibits “negligence, bad faith, active interference, or other tortious conduct.”</w:t>
      </w:r>
      <w:r w:rsidRPr="008C2DFA">
        <w:rPr>
          <w:rStyle w:val="FootnoteReference"/>
          <w:rFonts w:ascii="Times New Roman" w:hAnsi="Times New Roman"/>
          <w:sz w:val="24"/>
          <w:szCs w:val="24"/>
        </w:rPr>
        <w:footnoteReference w:id="20"/>
      </w:r>
      <w:r w:rsidRPr="008C2DFA">
        <w:rPr>
          <w:rFonts w:ascii="Times New Roman" w:hAnsi="Times New Roman"/>
          <w:sz w:val="24"/>
          <w:szCs w:val="24"/>
        </w:rPr>
        <w:t xml:space="preserve"> However, N.J.S. 2A:58B-3 specifically prohibits imputing the negligence of an agent to the public entity:</w:t>
      </w:r>
    </w:p>
    <w:p w14:paraId="397C7EA6" w14:textId="77777777" w:rsidR="001A4D47" w:rsidRPr="008C2DFA" w:rsidRDefault="001A4D47" w:rsidP="000C0ADD">
      <w:pPr>
        <w:spacing w:after="0" w:line="276" w:lineRule="auto"/>
        <w:ind w:firstLine="720"/>
        <w:jc w:val="both"/>
        <w:rPr>
          <w:rFonts w:ascii="Times New Roman" w:hAnsi="Times New Roman"/>
          <w:sz w:val="24"/>
          <w:szCs w:val="24"/>
        </w:rPr>
      </w:pPr>
    </w:p>
    <w:p w14:paraId="56A5A922" w14:textId="528E312C" w:rsidR="00A24FE4" w:rsidRDefault="00A24FE4" w:rsidP="005A6F19">
      <w:pPr>
        <w:spacing w:line="276" w:lineRule="auto"/>
        <w:ind w:left="720" w:right="720"/>
        <w:jc w:val="both"/>
        <w:rPr>
          <w:rFonts w:ascii="Times New Roman" w:hAnsi="Times New Roman"/>
          <w:b/>
          <w:bCs/>
          <w:sz w:val="24"/>
          <w:szCs w:val="24"/>
        </w:rPr>
      </w:pPr>
      <w:r w:rsidRPr="008C2DFA">
        <w:rPr>
          <w:rFonts w:ascii="Times New Roman" w:hAnsi="Times New Roman"/>
          <w:b/>
          <w:bCs/>
          <w:sz w:val="24"/>
          <w:szCs w:val="24"/>
        </w:rPr>
        <w:t>2A:58B-3.      Definitions </w:t>
      </w:r>
    </w:p>
    <w:p w14:paraId="2C5663A1" w14:textId="3C1AE724" w:rsidR="00A24FE4" w:rsidRPr="001A4D47" w:rsidRDefault="00A24FE4" w:rsidP="00080EAD">
      <w:pPr>
        <w:spacing w:line="276" w:lineRule="auto"/>
        <w:ind w:right="720" w:firstLine="720"/>
        <w:jc w:val="both"/>
        <w:rPr>
          <w:rFonts w:ascii="Times New Roman" w:hAnsi="Times New Roman"/>
          <w:sz w:val="24"/>
          <w:szCs w:val="24"/>
        </w:rPr>
      </w:pPr>
      <w:proofErr w:type="gramStart"/>
      <w:r w:rsidRPr="001A4D47">
        <w:rPr>
          <w:rFonts w:ascii="Times New Roman" w:hAnsi="Times New Roman"/>
          <w:sz w:val="24"/>
          <w:szCs w:val="24"/>
        </w:rPr>
        <w:t>a</w:t>
      </w:r>
      <w:proofErr w:type="gramEnd"/>
      <w:r w:rsidRPr="001A4D47">
        <w:rPr>
          <w:rFonts w:ascii="Times New Roman" w:hAnsi="Times New Roman"/>
          <w:sz w:val="24"/>
          <w:szCs w:val="24"/>
        </w:rPr>
        <w:t>. As used in this act:</w:t>
      </w:r>
    </w:p>
    <w:p w14:paraId="0938EF02" w14:textId="77777777" w:rsidR="00A24FE4" w:rsidRDefault="00A24FE4" w:rsidP="000C0ADD">
      <w:pPr>
        <w:spacing w:after="0" w:line="276" w:lineRule="auto"/>
        <w:ind w:left="720" w:right="720"/>
        <w:jc w:val="both"/>
        <w:rPr>
          <w:rFonts w:ascii="Times New Roman" w:hAnsi="Times New Roman"/>
          <w:sz w:val="24"/>
          <w:szCs w:val="24"/>
        </w:rPr>
      </w:pPr>
      <w:r w:rsidRPr="008C2DFA">
        <w:rPr>
          <w:rFonts w:ascii="Times New Roman" w:hAnsi="Times New Roman"/>
          <w:sz w:val="24"/>
          <w:szCs w:val="24"/>
        </w:rPr>
        <w:t>"Public entity" means this State or any department, public authority, public agency, public commission or any instrumentality of this State authorized by law to make contracts for the making of any public work, but shall not include any county, municipality or instrumentality thereof.  </w:t>
      </w:r>
    </w:p>
    <w:p w14:paraId="72704460" w14:textId="77777777" w:rsidR="00BD6EE8" w:rsidRDefault="00BD6EE8" w:rsidP="000C0ADD">
      <w:pPr>
        <w:spacing w:after="0" w:line="276" w:lineRule="auto"/>
        <w:ind w:left="720" w:right="720"/>
        <w:jc w:val="both"/>
        <w:rPr>
          <w:rFonts w:ascii="Times New Roman" w:hAnsi="Times New Roman"/>
          <w:sz w:val="24"/>
          <w:szCs w:val="24"/>
        </w:rPr>
      </w:pPr>
    </w:p>
    <w:p w14:paraId="6835D932" w14:textId="77777777" w:rsidR="00A24FE4" w:rsidRDefault="00A24FE4" w:rsidP="000C0ADD">
      <w:pPr>
        <w:spacing w:after="0" w:line="276" w:lineRule="auto"/>
        <w:ind w:left="720" w:right="720"/>
        <w:jc w:val="both"/>
        <w:rPr>
          <w:rFonts w:ascii="Times New Roman" w:hAnsi="Times New Roman"/>
          <w:sz w:val="24"/>
          <w:szCs w:val="24"/>
        </w:rPr>
      </w:pPr>
      <w:r w:rsidRPr="008C2DFA">
        <w:rPr>
          <w:rFonts w:ascii="Times New Roman" w:hAnsi="Times New Roman"/>
          <w:sz w:val="24"/>
          <w:szCs w:val="24"/>
        </w:rPr>
        <w:t>"Contractor" means a person, his assignees or legal representatives, with whom a contract with a public entity is made.  </w:t>
      </w:r>
    </w:p>
    <w:p w14:paraId="6F2228A4" w14:textId="77777777" w:rsidR="00080EAD" w:rsidRDefault="00080EAD" w:rsidP="000C0ADD">
      <w:pPr>
        <w:spacing w:after="0" w:line="276" w:lineRule="auto"/>
        <w:ind w:left="720" w:right="720"/>
        <w:jc w:val="both"/>
        <w:rPr>
          <w:rFonts w:ascii="Times New Roman" w:hAnsi="Times New Roman"/>
          <w:sz w:val="24"/>
          <w:szCs w:val="24"/>
        </w:rPr>
      </w:pPr>
    </w:p>
    <w:p w14:paraId="0C7E103F" w14:textId="77777777" w:rsidR="00080EAD" w:rsidRDefault="00A24FE4" w:rsidP="000C0ADD">
      <w:pPr>
        <w:spacing w:after="0" w:line="276" w:lineRule="auto"/>
        <w:ind w:left="720" w:right="720"/>
        <w:jc w:val="both"/>
        <w:rPr>
          <w:rFonts w:ascii="Times New Roman" w:hAnsi="Times New Roman"/>
          <w:sz w:val="24"/>
          <w:szCs w:val="24"/>
        </w:rPr>
      </w:pPr>
      <w:r w:rsidRPr="008C2DFA">
        <w:rPr>
          <w:rFonts w:ascii="Times New Roman" w:hAnsi="Times New Roman"/>
          <w:sz w:val="24"/>
          <w:szCs w:val="24"/>
        </w:rPr>
        <w:t xml:space="preserve">b.    A covenant, promise, agreement or understanding in, or in connection with or collateral to a contract, agreement or purchase order, to which a public entity is a party, relative to the construction, alteration, repair, maintenance, servicing or security of a building, structure, highway, roadway, railroad, appurtenance and appliance, including moving, demolition, excavating, grading, clearing, site preparation or development of real property connected therewith, purporting to limit a contractor's remedy for delayed performance caused by the public entity's </w:t>
      </w:r>
      <w:r w:rsidRPr="008C2DFA">
        <w:rPr>
          <w:rFonts w:ascii="Times New Roman" w:hAnsi="Times New Roman"/>
          <w:sz w:val="24"/>
          <w:szCs w:val="24"/>
        </w:rPr>
        <w:lastRenderedPageBreak/>
        <w:t>negligence, bad faith, active interference, or other tortious conduct to an extension of time for performance under the contract, is against public policy and is void and unenforceable.  </w:t>
      </w:r>
    </w:p>
    <w:p w14:paraId="74DA3937" w14:textId="5B41ED51" w:rsidR="00A24FE4" w:rsidRDefault="00A24FE4" w:rsidP="000C0ADD">
      <w:pPr>
        <w:spacing w:after="0" w:line="276" w:lineRule="auto"/>
        <w:ind w:left="720" w:right="720"/>
        <w:jc w:val="both"/>
        <w:rPr>
          <w:rFonts w:ascii="Times New Roman" w:hAnsi="Times New Roman"/>
          <w:sz w:val="24"/>
          <w:szCs w:val="24"/>
        </w:rPr>
      </w:pPr>
      <w:r w:rsidRPr="008C2DFA">
        <w:rPr>
          <w:rFonts w:ascii="Times New Roman" w:hAnsi="Times New Roman"/>
          <w:sz w:val="24"/>
          <w:szCs w:val="24"/>
        </w:rPr>
        <w:br/>
      </w:r>
      <w:r w:rsidRPr="009237CB">
        <w:rPr>
          <w:rFonts w:ascii="Times New Roman" w:hAnsi="Times New Roman"/>
          <w:i/>
          <w:sz w:val="24"/>
          <w:szCs w:val="24"/>
        </w:rPr>
        <w:t>c.    Nothing in this section shall be deemed to void any provisions in a contract, agreement or purchase order which limits a contractor's remedy for delayed performance caused by reasons contemplated by the parties nor shall the negligence of others be imputed to the State.</w:t>
      </w:r>
      <w:r w:rsidRPr="008C2DFA">
        <w:rPr>
          <w:rFonts w:ascii="Times New Roman" w:hAnsi="Times New Roman"/>
          <w:sz w:val="24"/>
          <w:szCs w:val="24"/>
        </w:rPr>
        <w:t> [</w:t>
      </w:r>
      <w:proofErr w:type="gramStart"/>
      <w:r w:rsidRPr="008C2DFA">
        <w:rPr>
          <w:rFonts w:ascii="Times New Roman" w:hAnsi="Times New Roman"/>
          <w:sz w:val="24"/>
          <w:szCs w:val="24"/>
        </w:rPr>
        <w:t>emphasis</w:t>
      </w:r>
      <w:proofErr w:type="gramEnd"/>
      <w:r w:rsidRPr="008C2DFA">
        <w:rPr>
          <w:rFonts w:ascii="Times New Roman" w:hAnsi="Times New Roman"/>
          <w:sz w:val="24"/>
          <w:szCs w:val="24"/>
        </w:rPr>
        <w:t xml:space="preserve"> added] </w:t>
      </w:r>
    </w:p>
    <w:p w14:paraId="0B3A319E" w14:textId="77777777" w:rsidR="00080EAD" w:rsidRDefault="00080EAD" w:rsidP="000C0ADD">
      <w:pPr>
        <w:spacing w:after="0" w:line="276" w:lineRule="auto"/>
        <w:ind w:left="720" w:right="720"/>
        <w:jc w:val="both"/>
        <w:rPr>
          <w:rFonts w:ascii="Times New Roman" w:hAnsi="Times New Roman"/>
          <w:sz w:val="24"/>
          <w:szCs w:val="24"/>
        </w:rPr>
      </w:pPr>
    </w:p>
    <w:p w14:paraId="72D1DBF4" w14:textId="77777777" w:rsidR="00A24FE4" w:rsidRPr="008C2DFA" w:rsidRDefault="00A24FE4" w:rsidP="000C0ADD">
      <w:pPr>
        <w:spacing w:after="0" w:line="276" w:lineRule="auto"/>
        <w:ind w:left="720" w:right="720"/>
        <w:jc w:val="both"/>
        <w:rPr>
          <w:rFonts w:ascii="Times New Roman" w:hAnsi="Times New Roman"/>
          <w:sz w:val="24"/>
          <w:szCs w:val="24"/>
        </w:rPr>
      </w:pPr>
      <w:r w:rsidRPr="008C2DFA">
        <w:rPr>
          <w:rFonts w:ascii="Times New Roman" w:hAnsi="Times New Roman"/>
          <w:sz w:val="24"/>
          <w:szCs w:val="24"/>
        </w:rPr>
        <w:t>d.    Nothing in this section shall be deemed to void any provision in a contract, agreement or purchase order which requires notice of delays, provides for arbitration or other procedures for settlement or provides for liquidated damages.  </w:t>
      </w:r>
      <w:r w:rsidRPr="008C2DFA">
        <w:rPr>
          <w:rFonts w:ascii="Times New Roman" w:hAnsi="Times New Roman"/>
          <w:sz w:val="24"/>
          <w:szCs w:val="24"/>
        </w:rPr>
        <w:br/>
      </w:r>
      <w:r w:rsidRPr="008C2DFA">
        <w:rPr>
          <w:rFonts w:ascii="Times New Roman" w:hAnsi="Times New Roman"/>
          <w:sz w:val="24"/>
          <w:szCs w:val="24"/>
        </w:rPr>
        <w:br/>
        <w:t>L.1994, c.80. </w:t>
      </w:r>
    </w:p>
    <w:p w14:paraId="77F00BE9" w14:textId="77777777" w:rsidR="00A24FE4" w:rsidRPr="008C2DFA" w:rsidRDefault="00A24FE4" w:rsidP="000C0ADD">
      <w:pPr>
        <w:spacing w:after="0" w:line="276" w:lineRule="auto"/>
        <w:jc w:val="both"/>
        <w:rPr>
          <w:rFonts w:ascii="Times New Roman" w:hAnsi="Times New Roman"/>
          <w:sz w:val="24"/>
          <w:szCs w:val="24"/>
        </w:rPr>
      </w:pPr>
    </w:p>
    <w:p w14:paraId="01611137" w14:textId="77777777" w:rsidR="00690860" w:rsidRDefault="00690860" w:rsidP="005A6F19">
      <w:pPr>
        <w:spacing w:line="276" w:lineRule="auto"/>
        <w:jc w:val="center"/>
        <w:rPr>
          <w:rFonts w:ascii="Times New Roman" w:hAnsi="Times New Roman" w:cs="Times New Roman"/>
          <w:b/>
          <w:sz w:val="24"/>
          <w:szCs w:val="24"/>
        </w:rPr>
      </w:pPr>
      <w:r>
        <w:rPr>
          <w:rFonts w:ascii="Times New Roman" w:hAnsi="Times New Roman" w:cs="Times New Roman"/>
          <w:b/>
          <w:sz w:val="24"/>
          <w:szCs w:val="24"/>
        </w:rPr>
        <w:t>Outreach</w:t>
      </w:r>
    </w:p>
    <w:p w14:paraId="35E69B72" w14:textId="12B81DF9" w:rsidR="00A24FE4" w:rsidRDefault="00A24FE4" w:rsidP="000C0ADD">
      <w:pPr>
        <w:spacing w:after="0" w:line="276" w:lineRule="auto"/>
        <w:ind w:firstLine="720"/>
        <w:jc w:val="both"/>
        <w:rPr>
          <w:rFonts w:ascii="Times New Roman" w:hAnsi="Times New Roman"/>
          <w:sz w:val="24"/>
          <w:szCs w:val="24"/>
        </w:rPr>
      </w:pPr>
      <w:r w:rsidRPr="008C2DFA">
        <w:rPr>
          <w:rFonts w:ascii="Times New Roman" w:hAnsi="Times New Roman"/>
          <w:sz w:val="24"/>
          <w:szCs w:val="24"/>
        </w:rPr>
        <w:t>In addition to harmonizing the two statutory provisions, above, outreach to Ed</w:t>
      </w:r>
      <w:r w:rsidR="000C0ADD">
        <w:rPr>
          <w:rFonts w:ascii="Times New Roman" w:hAnsi="Times New Roman"/>
          <w:sz w:val="24"/>
          <w:szCs w:val="24"/>
        </w:rPr>
        <w:t>ward J.</w:t>
      </w:r>
      <w:r w:rsidRPr="008C2DFA">
        <w:rPr>
          <w:rFonts w:ascii="Times New Roman" w:hAnsi="Times New Roman"/>
          <w:sz w:val="24"/>
          <w:szCs w:val="24"/>
        </w:rPr>
        <w:t xml:space="preserve"> Buzak, </w:t>
      </w:r>
      <w:r w:rsidR="000C0ADD">
        <w:rPr>
          <w:rFonts w:ascii="Times New Roman" w:hAnsi="Times New Roman"/>
          <w:sz w:val="24"/>
          <w:szCs w:val="24"/>
        </w:rPr>
        <w:t xml:space="preserve">Esq., </w:t>
      </w:r>
      <w:r w:rsidRPr="008C2DFA">
        <w:rPr>
          <w:rFonts w:ascii="Times New Roman" w:hAnsi="Times New Roman"/>
          <w:sz w:val="24"/>
          <w:szCs w:val="24"/>
        </w:rPr>
        <w:t xml:space="preserve">a past Chairman of the Legislative Committee of the Association of Environmental Authorities, resulted in his strongly suggesting that the </w:t>
      </w:r>
      <w:r w:rsidR="00DB0268">
        <w:rPr>
          <w:rFonts w:ascii="Times New Roman" w:hAnsi="Times New Roman"/>
          <w:sz w:val="24"/>
          <w:szCs w:val="24"/>
        </w:rPr>
        <w:t>Public Schools Contracts Law</w:t>
      </w:r>
      <w:r w:rsidRPr="008C2DFA">
        <w:rPr>
          <w:rFonts w:ascii="Times New Roman" w:hAnsi="Times New Roman"/>
          <w:sz w:val="24"/>
          <w:szCs w:val="24"/>
        </w:rPr>
        <w:t xml:space="preserve"> be similarly amended. </w:t>
      </w:r>
    </w:p>
    <w:p w14:paraId="4D32B133" w14:textId="77777777" w:rsidR="000C0ADD" w:rsidRDefault="000C0ADD" w:rsidP="000C0ADD">
      <w:pPr>
        <w:spacing w:after="0" w:line="276" w:lineRule="auto"/>
        <w:ind w:firstLine="720"/>
        <w:jc w:val="both"/>
        <w:rPr>
          <w:rFonts w:ascii="Times New Roman" w:hAnsi="Times New Roman"/>
          <w:sz w:val="24"/>
          <w:szCs w:val="24"/>
        </w:rPr>
      </w:pPr>
    </w:p>
    <w:p w14:paraId="6AE63CAD" w14:textId="120F5588" w:rsidR="00A24FE4" w:rsidRPr="008C2DFA" w:rsidRDefault="00A24FE4" w:rsidP="000C0ADD">
      <w:pPr>
        <w:spacing w:after="0" w:line="276" w:lineRule="auto"/>
        <w:ind w:firstLine="720"/>
        <w:jc w:val="both"/>
        <w:rPr>
          <w:rFonts w:ascii="Times New Roman" w:hAnsi="Times New Roman"/>
          <w:sz w:val="24"/>
          <w:szCs w:val="24"/>
        </w:rPr>
      </w:pPr>
      <w:r w:rsidRPr="008C2DFA">
        <w:rPr>
          <w:rFonts w:ascii="Times New Roman" w:hAnsi="Times New Roman"/>
          <w:sz w:val="24"/>
          <w:szCs w:val="24"/>
        </w:rPr>
        <w:t xml:space="preserve">Mr. Buzak noted that a companion amendment to that statute, specifically N.J.S. 18A:18A-41, was </w:t>
      </w:r>
      <w:r>
        <w:rPr>
          <w:rFonts w:ascii="Times New Roman" w:hAnsi="Times New Roman"/>
          <w:sz w:val="24"/>
          <w:szCs w:val="24"/>
        </w:rPr>
        <w:t>enacted</w:t>
      </w:r>
      <w:r w:rsidRPr="008C2DFA">
        <w:rPr>
          <w:rFonts w:ascii="Times New Roman" w:hAnsi="Times New Roman"/>
          <w:sz w:val="24"/>
          <w:szCs w:val="24"/>
        </w:rPr>
        <w:t xml:space="preserve"> to achieve the same objective as the 2001 amendment to the LPC</w:t>
      </w:r>
      <w:r w:rsidR="005A4633">
        <w:rPr>
          <w:rFonts w:ascii="Times New Roman" w:hAnsi="Times New Roman"/>
          <w:sz w:val="24"/>
          <w:szCs w:val="24"/>
        </w:rPr>
        <w:t>L</w:t>
      </w:r>
      <w:r w:rsidRPr="008C2DFA">
        <w:rPr>
          <w:rFonts w:ascii="Times New Roman" w:hAnsi="Times New Roman"/>
          <w:sz w:val="24"/>
          <w:szCs w:val="24"/>
        </w:rPr>
        <w:t>. (The Senate Committee Statement also indicates that the bill prohibiting most “no damage for delay” clauses was intended to apply both to the LPC</w:t>
      </w:r>
      <w:r w:rsidR="005A4633">
        <w:rPr>
          <w:rFonts w:ascii="Times New Roman" w:hAnsi="Times New Roman"/>
          <w:sz w:val="24"/>
          <w:szCs w:val="24"/>
        </w:rPr>
        <w:t>L</w:t>
      </w:r>
      <w:r w:rsidRPr="008C2DFA">
        <w:rPr>
          <w:rFonts w:ascii="Times New Roman" w:hAnsi="Times New Roman"/>
          <w:sz w:val="24"/>
          <w:szCs w:val="24"/>
        </w:rPr>
        <w:t xml:space="preserve"> and to the Public School</w:t>
      </w:r>
      <w:r w:rsidR="00DB0268">
        <w:rPr>
          <w:rFonts w:ascii="Times New Roman" w:hAnsi="Times New Roman"/>
          <w:sz w:val="24"/>
          <w:szCs w:val="24"/>
        </w:rPr>
        <w:t>s</w:t>
      </w:r>
      <w:r w:rsidRPr="008C2DFA">
        <w:rPr>
          <w:rFonts w:ascii="Times New Roman" w:hAnsi="Times New Roman"/>
          <w:sz w:val="24"/>
          <w:szCs w:val="24"/>
        </w:rPr>
        <w:t xml:space="preserve"> Contracts Law.</w:t>
      </w:r>
      <w:r w:rsidRPr="008C2DFA">
        <w:rPr>
          <w:rStyle w:val="FootnoteReference"/>
          <w:rFonts w:ascii="Times New Roman" w:hAnsi="Times New Roman"/>
          <w:sz w:val="24"/>
          <w:szCs w:val="24"/>
        </w:rPr>
        <w:footnoteReference w:id="21"/>
      </w:r>
      <w:r w:rsidRPr="008C2DFA">
        <w:rPr>
          <w:rFonts w:ascii="Times New Roman" w:hAnsi="Times New Roman"/>
          <w:sz w:val="24"/>
          <w:szCs w:val="24"/>
        </w:rPr>
        <w:t xml:space="preserve"> In addition, several other sections of the amendment applied to both statutes.</w:t>
      </w:r>
      <w:r w:rsidRPr="008C2DFA">
        <w:rPr>
          <w:rStyle w:val="FootnoteReference"/>
          <w:rFonts w:ascii="Times New Roman" w:hAnsi="Times New Roman"/>
          <w:sz w:val="24"/>
          <w:szCs w:val="24"/>
        </w:rPr>
        <w:footnoteReference w:id="22"/>
      </w:r>
      <w:r w:rsidRPr="008C2DFA">
        <w:rPr>
          <w:rFonts w:ascii="Times New Roman" w:hAnsi="Times New Roman"/>
          <w:sz w:val="24"/>
          <w:szCs w:val="24"/>
        </w:rPr>
        <w:t xml:space="preserve">) Therefore, he </w:t>
      </w:r>
      <w:r w:rsidR="00E45E98">
        <w:rPr>
          <w:rFonts w:ascii="Times New Roman" w:hAnsi="Times New Roman"/>
          <w:sz w:val="24"/>
          <w:szCs w:val="24"/>
        </w:rPr>
        <w:t>suggested</w:t>
      </w:r>
      <w:r w:rsidRPr="008C2DFA">
        <w:rPr>
          <w:rFonts w:ascii="Times New Roman" w:hAnsi="Times New Roman"/>
          <w:sz w:val="24"/>
          <w:szCs w:val="24"/>
        </w:rPr>
        <w:t xml:space="preserve"> that any revision to the LPC</w:t>
      </w:r>
      <w:r w:rsidR="00125B6B">
        <w:rPr>
          <w:rFonts w:ascii="Times New Roman" w:hAnsi="Times New Roman"/>
          <w:sz w:val="24"/>
          <w:szCs w:val="24"/>
        </w:rPr>
        <w:t>L</w:t>
      </w:r>
      <w:r w:rsidRPr="008C2DFA">
        <w:rPr>
          <w:rFonts w:ascii="Times New Roman" w:hAnsi="Times New Roman"/>
          <w:sz w:val="24"/>
          <w:szCs w:val="24"/>
        </w:rPr>
        <w:t xml:space="preserve"> should be extended to the Boards of Education.</w:t>
      </w:r>
    </w:p>
    <w:p w14:paraId="7BE15910" w14:textId="77777777" w:rsidR="00690860" w:rsidRDefault="00690860" w:rsidP="000C0ADD">
      <w:pPr>
        <w:spacing w:after="0" w:line="276" w:lineRule="auto"/>
        <w:ind w:firstLine="720"/>
        <w:jc w:val="both"/>
        <w:rPr>
          <w:rFonts w:ascii="Times New Roman" w:hAnsi="Times New Roman" w:cs="Times New Roman"/>
          <w:sz w:val="24"/>
          <w:szCs w:val="24"/>
        </w:rPr>
      </w:pPr>
    </w:p>
    <w:p w14:paraId="0F22A339" w14:textId="77777777" w:rsidR="00690860" w:rsidRDefault="00690860" w:rsidP="005A6F19">
      <w:pPr>
        <w:spacing w:line="276" w:lineRule="auto"/>
        <w:jc w:val="center"/>
        <w:rPr>
          <w:rFonts w:ascii="Times New Roman" w:hAnsi="Times New Roman" w:cs="Times New Roman"/>
          <w:b/>
          <w:sz w:val="24"/>
          <w:szCs w:val="24"/>
        </w:rPr>
      </w:pPr>
      <w:r>
        <w:rPr>
          <w:rFonts w:ascii="Times New Roman" w:hAnsi="Times New Roman" w:cs="Times New Roman"/>
          <w:b/>
          <w:sz w:val="24"/>
          <w:szCs w:val="24"/>
        </w:rPr>
        <w:t>Conclusion</w:t>
      </w:r>
    </w:p>
    <w:p w14:paraId="64087481" w14:textId="2D882371" w:rsidR="00525415" w:rsidRDefault="00690860" w:rsidP="000C0ADD">
      <w:pPr>
        <w:spacing w:after="0" w:line="276" w:lineRule="auto"/>
        <w:ind w:firstLine="720"/>
        <w:jc w:val="both"/>
        <w:rPr>
          <w:rFonts w:ascii="Times New Roman" w:hAnsi="Times New Roman"/>
          <w:sz w:val="24"/>
          <w:szCs w:val="24"/>
        </w:rPr>
      </w:pPr>
      <w:r>
        <w:rPr>
          <w:rFonts w:ascii="Times New Roman" w:hAnsi="Times New Roman" w:cs="Times New Roman"/>
          <w:sz w:val="24"/>
          <w:szCs w:val="24"/>
        </w:rPr>
        <w:t xml:space="preserve">Based on the feedback received, the Commission recommends </w:t>
      </w:r>
      <w:r w:rsidR="00783618">
        <w:rPr>
          <w:rFonts w:ascii="Times New Roman" w:hAnsi="Times New Roman" w:cs="Times New Roman"/>
          <w:sz w:val="24"/>
          <w:szCs w:val="24"/>
        </w:rPr>
        <w:t>that both N.J.S. 40A:11-19 and N.J.S. 18A:18A-41</w:t>
      </w:r>
      <w:r w:rsidR="007543CF">
        <w:rPr>
          <w:rFonts w:ascii="Times New Roman" w:hAnsi="Times New Roman" w:cs="Times New Roman"/>
          <w:sz w:val="24"/>
          <w:szCs w:val="24"/>
        </w:rPr>
        <w:t xml:space="preserve"> be revised to mirror the wording in </w:t>
      </w:r>
      <w:r w:rsidR="00525415">
        <w:rPr>
          <w:rFonts w:ascii="Times New Roman" w:hAnsi="Times New Roman" w:cs="Times New Roman"/>
          <w:sz w:val="24"/>
          <w:szCs w:val="24"/>
        </w:rPr>
        <w:t>N.J.S. 2A:58B-3(c)</w:t>
      </w:r>
      <w:r w:rsidR="00E45E98">
        <w:rPr>
          <w:rFonts w:ascii="Times New Roman" w:hAnsi="Times New Roman" w:cs="Times New Roman"/>
          <w:sz w:val="24"/>
          <w:szCs w:val="24"/>
        </w:rPr>
        <w:t xml:space="preserve"> as shown in the Appendix on the following pages</w:t>
      </w:r>
      <w:r w:rsidR="007064A6">
        <w:rPr>
          <w:rFonts w:ascii="Times New Roman" w:hAnsi="Times New Roman" w:cs="Times New Roman"/>
          <w:sz w:val="24"/>
          <w:szCs w:val="24"/>
        </w:rPr>
        <w:t xml:space="preserve">, </w:t>
      </w:r>
      <w:r w:rsidR="00E8240C">
        <w:rPr>
          <w:rFonts w:ascii="Times New Roman" w:hAnsi="Times New Roman" w:cs="Times New Roman"/>
          <w:sz w:val="24"/>
          <w:szCs w:val="24"/>
        </w:rPr>
        <w:t xml:space="preserve">using the definition for “district” in N.J.S. </w:t>
      </w:r>
      <w:r w:rsidR="00E8240C" w:rsidRPr="00A4237A">
        <w:rPr>
          <w:rFonts w:ascii="Times New Roman" w:hAnsi="Times New Roman" w:cs="Times New Roman"/>
          <w:color w:val="000000"/>
          <w:sz w:val="27"/>
          <w:szCs w:val="27"/>
        </w:rPr>
        <w:t>18A:18A-2</w:t>
      </w:r>
      <w:r w:rsidR="00E8240C">
        <w:rPr>
          <w:rFonts w:ascii="Times New Roman" w:hAnsi="Times New Roman" w:cs="Times New Roman"/>
          <w:sz w:val="24"/>
          <w:szCs w:val="24"/>
        </w:rPr>
        <w:t xml:space="preserve"> and “contracting unit” in N.J.S. 40A:11-2 when refer</w:t>
      </w:r>
      <w:r w:rsidR="00350439">
        <w:rPr>
          <w:rFonts w:ascii="Times New Roman" w:hAnsi="Times New Roman" w:cs="Times New Roman"/>
          <w:sz w:val="24"/>
          <w:szCs w:val="24"/>
        </w:rPr>
        <w:t>enc</w:t>
      </w:r>
      <w:r w:rsidR="00E8240C">
        <w:rPr>
          <w:rFonts w:ascii="Times New Roman" w:hAnsi="Times New Roman" w:cs="Times New Roman"/>
          <w:sz w:val="24"/>
          <w:szCs w:val="24"/>
        </w:rPr>
        <w:t>ing the public entity. As well,</w:t>
      </w:r>
      <w:r w:rsidR="00182E62">
        <w:rPr>
          <w:rFonts w:ascii="Times New Roman" w:hAnsi="Times New Roman" w:cs="Times New Roman"/>
          <w:sz w:val="24"/>
          <w:szCs w:val="24"/>
        </w:rPr>
        <w:t xml:space="preserve"> N.J.S. 2A:58B-3(c) </w:t>
      </w:r>
      <w:r w:rsidR="00E8240C">
        <w:rPr>
          <w:rFonts w:ascii="Times New Roman" w:hAnsi="Times New Roman" w:cs="Times New Roman"/>
          <w:sz w:val="24"/>
          <w:szCs w:val="24"/>
        </w:rPr>
        <w:t xml:space="preserve">would </w:t>
      </w:r>
      <w:r w:rsidR="00182E62">
        <w:rPr>
          <w:rFonts w:ascii="Times New Roman" w:hAnsi="Times New Roman" w:cs="Times New Roman"/>
          <w:sz w:val="24"/>
          <w:szCs w:val="24"/>
        </w:rPr>
        <w:t>be revised to clarify that “the State” refers to the public entity</w:t>
      </w:r>
      <w:r w:rsidR="00525415">
        <w:rPr>
          <w:rFonts w:ascii="Times New Roman" w:hAnsi="Times New Roman" w:cs="Times New Roman"/>
          <w:sz w:val="24"/>
          <w:szCs w:val="24"/>
        </w:rPr>
        <w:t xml:space="preserve">. </w:t>
      </w:r>
      <w:r w:rsidR="008B6360">
        <w:rPr>
          <w:rFonts w:ascii="Times New Roman" w:hAnsi="Times New Roman" w:cs="Times New Roman"/>
          <w:sz w:val="24"/>
          <w:szCs w:val="24"/>
        </w:rPr>
        <w:t>A</w:t>
      </w:r>
      <w:r w:rsidR="00525415">
        <w:rPr>
          <w:rFonts w:ascii="Times New Roman" w:hAnsi="Times New Roman" w:cs="Times New Roman"/>
          <w:sz w:val="24"/>
          <w:szCs w:val="24"/>
        </w:rPr>
        <w:t xml:space="preserve">ll three statutory sections </w:t>
      </w:r>
      <w:r w:rsidR="00E45E98">
        <w:rPr>
          <w:rFonts w:ascii="Times New Roman" w:hAnsi="Times New Roman" w:cs="Times New Roman"/>
          <w:sz w:val="24"/>
          <w:szCs w:val="24"/>
        </w:rPr>
        <w:t>would then</w:t>
      </w:r>
      <w:r w:rsidR="00525415">
        <w:rPr>
          <w:rFonts w:ascii="Times New Roman" w:hAnsi="Times New Roman" w:cs="Times New Roman"/>
          <w:sz w:val="24"/>
          <w:szCs w:val="24"/>
        </w:rPr>
        <w:t xml:space="preserve"> specifically prohibit imputing the negligence of a third party to a public entity. This </w:t>
      </w:r>
      <w:r w:rsidR="00525415" w:rsidRPr="008C2DFA">
        <w:rPr>
          <w:rFonts w:ascii="Times New Roman" w:hAnsi="Times New Roman"/>
          <w:sz w:val="24"/>
          <w:szCs w:val="24"/>
        </w:rPr>
        <w:t>will allow for consistency in interpreting all contracts governed by these statutes, thus potentially alleviating the type of sprawling and costly litigation that gave rise to this case.</w:t>
      </w:r>
    </w:p>
    <w:p w14:paraId="0987DFC0" w14:textId="41454B39" w:rsidR="00BE47F3" w:rsidRDefault="00E45E98" w:rsidP="00E45E98">
      <w:pPr>
        <w:jc w:val="center"/>
        <w:rPr>
          <w:rFonts w:ascii="Times New Roman" w:hAnsi="Times New Roman" w:cs="Times New Roman"/>
          <w:sz w:val="24"/>
          <w:szCs w:val="24"/>
        </w:rPr>
      </w:pPr>
      <w:r w:rsidRPr="00E45E98">
        <w:rPr>
          <w:rFonts w:ascii="Times New Roman" w:hAnsi="Times New Roman" w:cs="Times New Roman"/>
          <w:b/>
          <w:sz w:val="24"/>
          <w:szCs w:val="24"/>
        </w:rPr>
        <w:lastRenderedPageBreak/>
        <w:t>Appendix</w:t>
      </w:r>
    </w:p>
    <w:p w14:paraId="57FBFFD9" w14:textId="1A771558" w:rsidR="00BD6EE8" w:rsidRDefault="00BD6EE8" w:rsidP="00E45E98">
      <w:pPr>
        <w:spacing w:after="0" w:line="276" w:lineRule="auto"/>
        <w:ind w:left="720" w:right="720"/>
        <w:jc w:val="both"/>
        <w:rPr>
          <w:rFonts w:ascii="Times New Roman" w:hAnsi="Times New Roman"/>
          <w:b/>
          <w:bCs/>
          <w:sz w:val="24"/>
          <w:szCs w:val="24"/>
        </w:rPr>
      </w:pPr>
      <w:r>
        <w:rPr>
          <w:rFonts w:ascii="Times New Roman" w:hAnsi="Times New Roman"/>
          <w:b/>
          <w:bCs/>
          <w:sz w:val="24"/>
          <w:szCs w:val="24"/>
        </w:rPr>
        <w:t>Model language:</w:t>
      </w:r>
    </w:p>
    <w:p w14:paraId="7993141A" w14:textId="77777777" w:rsidR="00BD6EE8" w:rsidRDefault="00BD6EE8" w:rsidP="00E45E98">
      <w:pPr>
        <w:spacing w:after="0" w:line="276" w:lineRule="auto"/>
        <w:ind w:left="720" w:right="720"/>
        <w:jc w:val="both"/>
        <w:rPr>
          <w:rFonts w:ascii="Times New Roman" w:hAnsi="Times New Roman"/>
          <w:b/>
          <w:bCs/>
          <w:sz w:val="24"/>
          <w:szCs w:val="24"/>
        </w:rPr>
      </w:pPr>
    </w:p>
    <w:p w14:paraId="5A32ADE2" w14:textId="46D064FE" w:rsidR="00E45E98" w:rsidRDefault="00E45E98" w:rsidP="005A6F19">
      <w:pPr>
        <w:spacing w:line="276" w:lineRule="auto"/>
        <w:ind w:left="720" w:right="720"/>
        <w:jc w:val="both"/>
        <w:rPr>
          <w:rFonts w:ascii="Times New Roman" w:hAnsi="Times New Roman"/>
          <w:b/>
          <w:bCs/>
          <w:sz w:val="24"/>
          <w:szCs w:val="24"/>
        </w:rPr>
      </w:pPr>
      <w:r w:rsidRPr="008C2DFA">
        <w:rPr>
          <w:rFonts w:ascii="Times New Roman" w:hAnsi="Times New Roman"/>
          <w:b/>
          <w:bCs/>
          <w:sz w:val="24"/>
          <w:szCs w:val="24"/>
        </w:rPr>
        <w:t>2A:58B-3      Definitions </w:t>
      </w:r>
    </w:p>
    <w:p w14:paraId="3ACD4897" w14:textId="77777777" w:rsidR="00E45E98" w:rsidRPr="001A4D47" w:rsidRDefault="00E45E98" w:rsidP="00E45E98">
      <w:pPr>
        <w:spacing w:line="276" w:lineRule="auto"/>
        <w:ind w:right="720" w:firstLine="720"/>
        <w:jc w:val="both"/>
        <w:rPr>
          <w:rFonts w:ascii="Times New Roman" w:hAnsi="Times New Roman"/>
          <w:sz w:val="24"/>
          <w:szCs w:val="24"/>
        </w:rPr>
      </w:pPr>
      <w:proofErr w:type="gramStart"/>
      <w:r w:rsidRPr="001A4D47">
        <w:rPr>
          <w:rFonts w:ascii="Times New Roman" w:hAnsi="Times New Roman"/>
          <w:sz w:val="24"/>
          <w:szCs w:val="24"/>
        </w:rPr>
        <w:t>a</w:t>
      </w:r>
      <w:proofErr w:type="gramEnd"/>
      <w:r w:rsidRPr="001A4D47">
        <w:rPr>
          <w:rFonts w:ascii="Times New Roman" w:hAnsi="Times New Roman"/>
          <w:sz w:val="24"/>
          <w:szCs w:val="24"/>
        </w:rPr>
        <w:t>. As used in this act:</w:t>
      </w:r>
    </w:p>
    <w:p w14:paraId="7066A9F6" w14:textId="77777777" w:rsidR="00E45E98" w:rsidRDefault="00E45E98" w:rsidP="00E45E98">
      <w:pPr>
        <w:spacing w:after="0" w:line="276" w:lineRule="auto"/>
        <w:ind w:left="720" w:right="720"/>
        <w:jc w:val="both"/>
        <w:rPr>
          <w:rFonts w:ascii="Times New Roman" w:hAnsi="Times New Roman"/>
          <w:sz w:val="24"/>
          <w:szCs w:val="24"/>
        </w:rPr>
      </w:pPr>
      <w:r w:rsidRPr="008C2DFA">
        <w:rPr>
          <w:rFonts w:ascii="Times New Roman" w:hAnsi="Times New Roman"/>
          <w:sz w:val="24"/>
          <w:szCs w:val="24"/>
        </w:rPr>
        <w:t>"Public entity" means this State or any department, public authority, public agency, public commission or any instrumentality of this State authorized by law to make contracts for the making of any public work, but shall not include any county, municipality or instrumentality thereof.  </w:t>
      </w:r>
    </w:p>
    <w:p w14:paraId="67A9A6C8" w14:textId="77777777" w:rsidR="00BD6EE8" w:rsidRDefault="00BD6EE8" w:rsidP="00E45E98">
      <w:pPr>
        <w:spacing w:after="0" w:line="276" w:lineRule="auto"/>
        <w:ind w:left="720" w:right="720"/>
        <w:jc w:val="both"/>
        <w:rPr>
          <w:rFonts w:ascii="Times New Roman" w:hAnsi="Times New Roman"/>
          <w:sz w:val="24"/>
          <w:szCs w:val="24"/>
        </w:rPr>
      </w:pPr>
    </w:p>
    <w:p w14:paraId="2D932BCB" w14:textId="77777777" w:rsidR="00E45E98" w:rsidRDefault="00E45E98" w:rsidP="00E45E98">
      <w:pPr>
        <w:spacing w:after="0" w:line="276" w:lineRule="auto"/>
        <w:ind w:left="720" w:right="720"/>
        <w:jc w:val="both"/>
        <w:rPr>
          <w:rFonts w:ascii="Times New Roman" w:hAnsi="Times New Roman"/>
          <w:sz w:val="24"/>
          <w:szCs w:val="24"/>
        </w:rPr>
      </w:pPr>
      <w:r w:rsidRPr="008C2DFA">
        <w:rPr>
          <w:rFonts w:ascii="Times New Roman" w:hAnsi="Times New Roman"/>
          <w:sz w:val="24"/>
          <w:szCs w:val="24"/>
        </w:rPr>
        <w:t>"Contractor" means a person, his assignees or legal representatives, with whom a contract with a public entity is made.  </w:t>
      </w:r>
    </w:p>
    <w:p w14:paraId="0203D41B" w14:textId="77777777" w:rsidR="00E45E98" w:rsidRDefault="00E45E98" w:rsidP="00E45E98">
      <w:pPr>
        <w:spacing w:after="0" w:line="276" w:lineRule="auto"/>
        <w:ind w:left="720" w:right="720"/>
        <w:jc w:val="both"/>
        <w:rPr>
          <w:rFonts w:ascii="Times New Roman" w:hAnsi="Times New Roman"/>
          <w:sz w:val="24"/>
          <w:szCs w:val="24"/>
        </w:rPr>
      </w:pPr>
    </w:p>
    <w:p w14:paraId="67ECBC9D" w14:textId="77777777" w:rsidR="00E45E98" w:rsidRDefault="00E45E98" w:rsidP="00E45E98">
      <w:pPr>
        <w:spacing w:after="0" w:line="276" w:lineRule="auto"/>
        <w:ind w:left="720" w:right="720"/>
        <w:jc w:val="both"/>
        <w:rPr>
          <w:rFonts w:ascii="Times New Roman" w:hAnsi="Times New Roman"/>
          <w:sz w:val="24"/>
          <w:szCs w:val="24"/>
        </w:rPr>
      </w:pPr>
      <w:r w:rsidRPr="008C2DFA">
        <w:rPr>
          <w:rFonts w:ascii="Times New Roman" w:hAnsi="Times New Roman"/>
          <w:sz w:val="24"/>
          <w:szCs w:val="24"/>
        </w:rPr>
        <w:t>b.    A covenant, promise, agreement or understanding in, or in connection with or collateral to a contract, agreement or purchase order, to which a public entity is a party, relative to the construction, alteration, repair, maintenance, servicing or security of a building, structure, highway, roadway, railroad, appurtenance and appliance, including moving, demolition, excavating, grading, clearing, site preparation or development of real property connected therewith, purporting to limit a contractor's remedy for delayed performance caused by the public entity's negligence, bad faith, active interference, or other tortious conduct to an extension of time for performance under the contract, is against public policy and is void and unenforceable.  </w:t>
      </w:r>
    </w:p>
    <w:p w14:paraId="000CC4B5" w14:textId="719F2B94" w:rsidR="00E45E98" w:rsidRPr="00E54AD3" w:rsidRDefault="00E45E98" w:rsidP="00E45E98">
      <w:pPr>
        <w:spacing w:after="0" w:line="276" w:lineRule="auto"/>
        <w:ind w:left="720" w:right="720"/>
        <w:jc w:val="both"/>
        <w:rPr>
          <w:rFonts w:ascii="Times New Roman" w:hAnsi="Times New Roman"/>
          <w:sz w:val="24"/>
          <w:szCs w:val="24"/>
        </w:rPr>
      </w:pPr>
      <w:r w:rsidRPr="008C2DFA">
        <w:rPr>
          <w:rFonts w:ascii="Times New Roman" w:hAnsi="Times New Roman"/>
          <w:sz w:val="24"/>
          <w:szCs w:val="24"/>
        </w:rPr>
        <w:br/>
      </w:r>
      <w:r w:rsidRPr="00E54AD3">
        <w:rPr>
          <w:rFonts w:ascii="Times New Roman" w:hAnsi="Times New Roman"/>
          <w:sz w:val="24"/>
          <w:szCs w:val="24"/>
        </w:rPr>
        <w:t>c.    Nothing in this section shall be deemed to void any provisions in a contract, agreement or purchase order which limits a contractor's remedy for delayed performance caused by reasons contemplated by the parties nor shall the negligence of others be imputed to the State.</w:t>
      </w:r>
    </w:p>
    <w:p w14:paraId="04E30CEE" w14:textId="77777777" w:rsidR="00E45E98" w:rsidRDefault="00E45E98" w:rsidP="00E45E98">
      <w:pPr>
        <w:spacing w:after="0" w:line="276" w:lineRule="auto"/>
        <w:ind w:left="720" w:right="720"/>
        <w:jc w:val="both"/>
        <w:rPr>
          <w:rFonts w:ascii="Times New Roman" w:hAnsi="Times New Roman"/>
          <w:sz w:val="24"/>
          <w:szCs w:val="24"/>
        </w:rPr>
      </w:pPr>
    </w:p>
    <w:p w14:paraId="1573AA48" w14:textId="77777777" w:rsidR="00E45E98" w:rsidRPr="008C2DFA" w:rsidRDefault="00E45E98" w:rsidP="00E45E98">
      <w:pPr>
        <w:spacing w:after="0" w:line="276" w:lineRule="auto"/>
        <w:ind w:left="720" w:right="720"/>
        <w:jc w:val="both"/>
        <w:rPr>
          <w:rFonts w:ascii="Times New Roman" w:hAnsi="Times New Roman"/>
          <w:sz w:val="24"/>
          <w:szCs w:val="24"/>
        </w:rPr>
      </w:pPr>
      <w:r w:rsidRPr="008C2DFA">
        <w:rPr>
          <w:rFonts w:ascii="Times New Roman" w:hAnsi="Times New Roman"/>
          <w:sz w:val="24"/>
          <w:szCs w:val="24"/>
        </w:rPr>
        <w:t>d.    Nothing in this section shall be deemed to void any provision in a contract, agreement or purchase order which requires notice of delays, provides for arbitration or other procedures for settlement or provides for liquidated damages.  </w:t>
      </w:r>
      <w:r w:rsidRPr="008C2DFA">
        <w:rPr>
          <w:rFonts w:ascii="Times New Roman" w:hAnsi="Times New Roman"/>
          <w:sz w:val="24"/>
          <w:szCs w:val="24"/>
        </w:rPr>
        <w:br/>
      </w:r>
      <w:r w:rsidRPr="008C2DFA">
        <w:rPr>
          <w:rFonts w:ascii="Times New Roman" w:hAnsi="Times New Roman"/>
          <w:sz w:val="24"/>
          <w:szCs w:val="24"/>
        </w:rPr>
        <w:br/>
        <w:t>L.1994, c.80. </w:t>
      </w:r>
    </w:p>
    <w:p w14:paraId="2E039D0B" w14:textId="77777777" w:rsidR="00E45E98" w:rsidRDefault="00E45E98" w:rsidP="00E45E98">
      <w:pPr>
        <w:jc w:val="both"/>
        <w:rPr>
          <w:rFonts w:ascii="Times New Roman" w:hAnsi="Times New Roman" w:cs="Times New Roman"/>
          <w:sz w:val="24"/>
          <w:szCs w:val="24"/>
        </w:rPr>
      </w:pPr>
    </w:p>
    <w:p w14:paraId="1158468C" w14:textId="3A0AD3DC" w:rsidR="00E45E98" w:rsidRDefault="00E45E98" w:rsidP="00E45E98">
      <w:pPr>
        <w:jc w:val="both"/>
        <w:rPr>
          <w:rFonts w:ascii="Times New Roman" w:hAnsi="Times New Roman" w:cs="Times New Roman"/>
          <w:sz w:val="24"/>
          <w:szCs w:val="24"/>
        </w:rPr>
      </w:pPr>
      <w:r>
        <w:rPr>
          <w:rFonts w:ascii="Times New Roman" w:hAnsi="Times New Roman" w:cs="Times New Roman"/>
          <w:b/>
          <w:sz w:val="24"/>
          <w:szCs w:val="24"/>
        </w:rPr>
        <w:t xml:space="preserve">Proposed changes </w:t>
      </w:r>
      <w:r w:rsidR="00BD6EE8" w:rsidRPr="00BD6EE8">
        <w:rPr>
          <w:rFonts w:ascii="Times New Roman" w:hAnsi="Times New Roman" w:cs="Times New Roman"/>
          <w:sz w:val="24"/>
          <w:szCs w:val="24"/>
        </w:rPr>
        <w:t xml:space="preserve">(proposed additions shown with </w:t>
      </w:r>
      <w:r w:rsidR="00BD6EE8" w:rsidRPr="00BD6EE8">
        <w:rPr>
          <w:rFonts w:ascii="Times New Roman" w:hAnsi="Times New Roman" w:cs="Times New Roman"/>
          <w:sz w:val="24"/>
          <w:szCs w:val="24"/>
          <w:u w:val="single"/>
        </w:rPr>
        <w:t>underline</w:t>
      </w:r>
      <w:r w:rsidR="00BD6EE8" w:rsidRPr="00BD6EE8">
        <w:rPr>
          <w:rFonts w:ascii="Times New Roman" w:hAnsi="Times New Roman" w:cs="Times New Roman"/>
          <w:sz w:val="24"/>
          <w:szCs w:val="24"/>
        </w:rPr>
        <w:t xml:space="preserve"> and deletions with </w:t>
      </w:r>
      <w:r w:rsidR="00BD6EE8" w:rsidRPr="00BD6EE8">
        <w:rPr>
          <w:rFonts w:ascii="Times New Roman" w:hAnsi="Times New Roman" w:cs="Times New Roman"/>
          <w:strike/>
          <w:sz w:val="24"/>
          <w:szCs w:val="24"/>
        </w:rPr>
        <w:t>strikeout</w:t>
      </w:r>
      <w:r w:rsidR="00BD6EE8" w:rsidRPr="00BD6EE8">
        <w:rPr>
          <w:rFonts w:ascii="Times New Roman" w:hAnsi="Times New Roman" w:cs="Times New Roman"/>
          <w:sz w:val="24"/>
          <w:szCs w:val="24"/>
        </w:rPr>
        <w:t>)</w:t>
      </w:r>
      <w:r w:rsidR="00BD6EE8">
        <w:rPr>
          <w:rFonts w:ascii="Times New Roman" w:hAnsi="Times New Roman" w:cs="Times New Roman"/>
          <w:sz w:val="24"/>
          <w:szCs w:val="24"/>
        </w:rPr>
        <w:t>:</w:t>
      </w:r>
    </w:p>
    <w:p w14:paraId="1F851D83" w14:textId="77777777" w:rsidR="00D1120D" w:rsidRDefault="00D1120D" w:rsidP="005A6F19">
      <w:pPr>
        <w:spacing w:line="276" w:lineRule="auto"/>
        <w:ind w:left="720" w:right="720"/>
        <w:jc w:val="both"/>
        <w:rPr>
          <w:rFonts w:ascii="Times New Roman" w:hAnsi="Times New Roman"/>
          <w:b/>
          <w:bCs/>
          <w:sz w:val="24"/>
          <w:szCs w:val="24"/>
        </w:rPr>
      </w:pPr>
      <w:r w:rsidRPr="008C2DFA">
        <w:rPr>
          <w:rFonts w:ascii="Times New Roman" w:hAnsi="Times New Roman"/>
          <w:b/>
          <w:bCs/>
          <w:sz w:val="24"/>
          <w:szCs w:val="24"/>
        </w:rPr>
        <w:t>2A:58B-3      Definitions </w:t>
      </w:r>
    </w:p>
    <w:p w14:paraId="6E0804F0" w14:textId="77777777" w:rsidR="00D1120D" w:rsidRPr="001A4D47" w:rsidRDefault="00D1120D" w:rsidP="00D1120D">
      <w:pPr>
        <w:spacing w:line="276" w:lineRule="auto"/>
        <w:ind w:right="720" w:firstLine="720"/>
        <w:jc w:val="both"/>
        <w:rPr>
          <w:rFonts w:ascii="Times New Roman" w:hAnsi="Times New Roman"/>
          <w:sz w:val="24"/>
          <w:szCs w:val="24"/>
        </w:rPr>
      </w:pPr>
      <w:proofErr w:type="gramStart"/>
      <w:r w:rsidRPr="001A4D47">
        <w:rPr>
          <w:rFonts w:ascii="Times New Roman" w:hAnsi="Times New Roman"/>
          <w:sz w:val="24"/>
          <w:szCs w:val="24"/>
        </w:rPr>
        <w:t>a</w:t>
      </w:r>
      <w:proofErr w:type="gramEnd"/>
      <w:r w:rsidRPr="001A4D47">
        <w:rPr>
          <w:rFonts w:ascii="Times New Roman" w:hAnsi="Times New Roman"/>
          <w:sz w:val="24"/>
          <w:szCs w:val="24"/>
        </w:rPr>
        <w:t>. As used in this act:</w:t>
      </w:r>
    </w:p>
    <w:p w14:paraId="44B25117" w14:textId="77777777" w:rsidR="00D1120D" w:rsidRDefault="00D1120D" w:rsidP="00D1120D">
      <w:pPr>
        <w:spacing w:after="0" w:line="276" w:lineRule="auto"/>
        <w:ind w:left="720" w:right="720"/>
        <w:jc w:val="both"/>
        <w:rPr>
          <w:rFonts w:ascii="Times New Roman" w:hAnsi="Times New Roman"/>
          <w:sz w:val="24"/>
          <w:szCs w:val="24"/>
        </w:rPr>
      </w:pPr>
      <w:r w:rsidRPr="008C2DFA">
        <w:rPr>
          <w:rFonts w:ascii="Times New Roman" w:hAnsi="Times New Roman"/>
          <w:sz w:val="24"/>
          <w:szCs w:val="24"/>
        </w:rPr>
        <w:lastRenderedPageBreak/>
        <w:t>"Public entity" means this State or any department, public authority, public agency, public commission or any instrumentality of this State authorized by law to make contracts for the making of any public work, but shall not include any county, municipality or instrumentality thereof.  </w:t>
      </w:r>
    </w:p>
    <w:p w14:paraId="07DDBA66" w14:textId="77777777" w:rsidR="00D1120D" w:rsidRDefault="00D1120D" w:rsidP="00D1120D">
      <w:pPr>
        <w:spacing w:after="0" w:line="276" w:lineRule="auto"/>
        <w:ind w:left="720" w:right="720"/>
        <w:jc w:val="both"/>
        <w:rPr>
          <w:rFonts w:ascii="Times New Roman" w:hAnsi="Times New Roman"/>
          <w:sz w:val="24"/>
          <w:szCs w:val="24"/>
        </w:rPr>
      </w:pPr>
    </w:p>
    <w:p w14:paraId="604482C4" w14:textId="77777777" w:rsidR="00D1120D" w:rsidRDefault="00D1120D" w:rsidP="00D1120D">
      <w:pPr>
        <w:spacing w:after="0" w:line="276" w:lineRule="auto"/>
        <w:ind w:left="720" w:right="720"/>
        <w:jc w:val="both"/>
        <w:rPr>
          <w:rFonts w:ascii="Times New Roman" w:hAnsi="Times New Roman"/>
          <w:sz w:val="24"/>
          <w:szCs w:val="24"/>
        </w:rPr>
      </w:pPr>
      <w:r w:rsidRPr="008C2DFA">
        <w:rPr>
          <w:rFonts w:ascii="Times New Roman" w:hAnsi="Times New Roman"/>
          <w:sz w:val="24"/>
          <w:szCs w:val="24"/>
        </w:rPr>
        <w:t>"Contractor" means a person, his assignees or legal representatives, with whom a contract with a public entity is made.  </w:t>
      </w:r>
    </w:p>
    <w:p w14:paraId="3F597D62" w14:textId="77777777" w:rsidR="00D1120D" w:rsidRDefault="00D1120D" w:rsidP="00D1120D">
      <w:pPr>
        <w:spacing w:after="0" w:line="276" w:lineRule="auto"/>
        <w:ind w:left="720" w:right="720"/>
        <w:jc w:val="both"/>
        <w:rPr>
          <w:rFonts w:ascii="Times New Roman" w:hAnsi="Times New Roman"/>
          <w:sz w:val="24"/>
          <w:szCs w:val="24"/>
        </w:rPr>
      </w:pPr>
    </w:p>
    <w:p w14:paraId="672BECD2" w14:textId="77777777" w:rsidR="00D1120D" w:rsidRDefault="00D1120D" w:rsidP="00D1120D">
      <w:pPr>
        <w:spacing w:after="0" w:line="276" w:lineRule="auto"/>
        <w:ind w:left="720" w:right="720"/>
        <w:jc w:val="both"/>
        <w:rPr>
          <w:rFonts w:ascii="Times New Roman" w:hAnsi="Times New Roman"/>
          <w:sz w:val="24"/>
          <w:szCs w:val="24"/>
        </w:rPr>
      </w:pPr>
      <w:r w:rsidRPr="008C2DFA">
        <w:rPr>
          <w:rFonts w:ascii="Times New Roman" w:hAnsi="Times New Roman"/>
          <w:sz w:val="24"/>
          <w:szCs w:val="24"/>
        </w:rPr>
        <w:t>b.    A covenant, promise, agreement or understanding in, or in connection with or collateral to a contract, agreement or purchase order, to which a public entity is a party, relative to the construction, alteration, repair, maintenance, servicing or security of a building, structure, highway, roadway, railroad, appurtenance and appliance, including moving, demolition, excavating, grading, clearing, site preparation or development of real property connected therewith, purporting to limit a contractor's remedy for delayed performance caused by the public entity's negligence, bad faith, active interference, or other tortious conduct to an extension of time for performance under the contract, is against public policy and is void and unenforceable.  </w:t>
      </w:r>
    </w:p>
    <w:p w14:paraId="1B29146D" w14:textId="7931882B" w:rsidR="00D1120D" w:rsidRPr="00D1120D" w:rsidRDefault="00D1120D" w:rsidP="00D1120D">
      <w:pPr>
        <w:spacing w:after="0" w:line="276" w:lineRule="auto"/>
        <w:ind w:left="720" w:right="720"/>
        <w:jc w:val="both"/>
        <w:rPr>
          <w:rFonts w:ascii="Times New Roman" w:hAnsi="Times New Roman"/>
          <w:sz w:val="24"/>
          <w:szCs w:val="24"/>
        </w:rPr>
      </w:pPr>
      <w:r w:rsidRPr="008C2DFA">
        <w:rPr>
          <w:rFonts w:ascii="Times New Roman" w:hAnsi="Times New Roman"/>
          <w:sz w:val="24"/>
          <w:szCs w:val="24"/>
        </w:rPr>
        <w:br/>
      </w:r>
      <w:r w:rsidRPr="00D1120D">
        <w:rPr>
          <w:rFonts w:ascii="Times New Roman" w:hAnsi="Times New Roman"/>
          <w:sz w:val="24"/>
          <w:szCs w:val="24"/>
        </w:rPr>
        <w:t xml:space="preserve">c.    Nothing in this section shall be deemed to void any provisions in a contract, agreement or purchase order which limits a contractor's remedy for delayed performance caused by reasons contemplated by the parties nor shall the negligence of others be imputed to the </w:t>
      </w:r>
      <w:r w:rsidRPr="00D1120D">
        <w:rPr>
          <w:rFonts w:ascii="Times New Roman" w:hAnsi="Times New Roman"/>
          <w:strike/>
          <w:sz w:val="24"/>
          <w:szCs w:val="24"/>
        </w:rPr>
        <w:t>State</w:t>
      </w:r>
      <w:r w:rsidRPr="00D1120D">
        <w:rPr>
          <w:rFonts w:ascii="Times New Roman" w:hAnsi="Times New Roman"/>
          <w:sz w:val="24"/>
          <w:szCs w:val="24"/>
        </w:rPr>
        <w:t xml:space="preserve"> </w:t>
      </w:r>
      <w:r w:rsidRPr="00D1120D">
        <w:rPr>
          <w:rFonts w:ascii="Times New Roman" w:hAnsi="Times New Roman"/>
          <w:sz w:val="24"/>
          <w:szCs w:val="24"/>
          <w:u w:val="single"/>
        </w:rPr>
        <w:t>public entity</w:t>
      </w:r>
      <w:r w:rsidRPr="00D1120D">
        <w:rPr>
          <w:rFonts w:ascii="Times New Roman" w:hAnsi="Times New Roman"/>
          <w:sz w:val="24"/>
          <w:szCs w:val="24"/>
        </w:rPr>
        <w:t>.</w:t>
      </w:r>
    </w:p>
    <w:p w14:paraId="12014ECD" w14:textId="77777777" w:rsidR="00D1120D" w:rsidRDefault="00D1120D" w:rsidP="00D1120D">
      <w:pPr>
        <w:spacing w:after="0" w:line="276" w:lineRule="auto"/>
        <w:ind w:left="720" w:right="720"/>
        <w:jc w:val="both"/>
        <w:rPr>
          <w:rFonts w:ascii="Times New Roman" w:hAnsi="Times New Roman"/>
          <w:sz w:val="24"/>
          <w:szCs w:val="24"/>
        </w:rPr>
      </w:pPr>
    </w:p>
    <w:p w14:paraId="5738C099" w14:textId="77777777" w:rsidR="00D1120D" w:rsidRPr="008C2DFA" w:rsidRDefault="00D1120D" w:rsidP="00D1120D">
      <w:pPr>
        <w:spacing w:after="0" w:line="276" w:lineRule="auto"/>
        <w:ind w:left="720" w:right="720"/>
        <w:jc w:val="both"/>
        <w:rPr>
          <w:rFonts w:ascii="Times New Roman" w:hAnsi="Times New Roman"/>
          <w:sz w:val="24"/>
          <w:szCs w:val="24"/>
        </w:rPr>
      </w:pPr>
      <w:r w:rsidRPr="008C2DFA">
        <w:rPr>
          <w:rFonts w:ascii="Times New Roman" w:hAnsi="Times New Roman"/>
          <w:sz w:val="24"/>
          <w:szCs w:val="24"/>
        </w:rPr>
        <w:t>d.    Nothing in this section shall be deemed to void any provision in a contract, agreement or purchase order which requires notice of delays, provides for arbitration or other procedures for settlement or provides for liquidated damages.  </w:t>
      </w:r>
      <w:r w:rsidRPr="008C2DFA">
        <w:rPr>
          <w:rFonts w:ascii="Times New Roman" w:hAnsi="Times New Roman"/>
          <w:sz w:val="24"/>
          <w:szCs w:val="24"/>
        </w:rPr>
        <w:br/>
      </w:r>
      <w:r w:rsidRPr="008C2DFA">
        <w:rPr>
          <w:rFonts w:ascii="Times New Roman" w:hAnsi="Times New Roman"/>
          <w:sz w:val="24"/>
          <w:szCs w:val="24"/>
        </w:rPr>
        <w:br/>
        <w:t>L.1994, c.80. </w:t>
      </w:r>
    </w:p>
    <w:p w14:paraId="50D1E683" w14:textId="77777777" w:rsidR="00D1120D" w:rsidRPr="00BD6EE8" w:rsidRDefault="00D1120D" w:rsidP="00E45E98">
      <w:pPr>
        <w:jc w:val="both"/>
        <w:rPr>
          <w:rFonts w:ascii="Times New Roman" w:hAnsi="Times New Roman" w:cs="Times New Roman"/>
          <w:b/>
          <w:sz w:val="24"/>
          <w:szCs w:val="24"/>
        </w:rPr>
      </w:pPr>
    </w:p>
    <w:p w14:paraId="4C343FE9" w14:textId="77777777" w:rsidR="00E45E98" w:rsidRDefault="00E45E98" w:rsidP="005A6F19">
      <w:pPr>
        <w:spacing w:line="276" w:lineRule="auto"/>
        <w:ind w:left="720" w:right="720"/>
        <w:jc w:val="both"/>
        <w:rPr>
          <w:rFonts w:ascii="Times New Roman" w:hAnsi="Times New Roman"/>
          <w:b/>
          <w:sz w:val="24"/>
          <w:szCs w:val="24"/>
        </w:rPr>
      </w:pPr>
      <w:r w:rsidRPr="008C2DFA">
        <w:rPr>
          <w:rFonts w:ascii="Times New Roman" w:hAnsi="Times New Roman"/>
          <w:b/>
          <w:sz w:val="24"/>
          <w:szCs w:val="24"/>
        </w:rPr>
        <w:t>40A: 11-19 Liquidated damages; void provisions as to contractor's remedies</w:t>
      </w:r>
    </w:p>
    <w:p w14:paraId="6A1F4780" w14:textId="77777777" w:rsidR="00E45E98" w:rsidRDefault="00E45E98" w:rsidP="00E45E98">
      <w:pPr>
        <w:spacing w:after="0" w:line="276" w:lineRule="auto"/>
        <w:ind w:left="720" w:right="720"/>
        <w:jc w:val="both"/>
        <w:rPr>
          <w:rFonts w:ascii="Times New Roman" w:eastAsia="Times New Roman" w:hAnsi="Times New Roman"/>
          <w:color w:val="000000"/>
          <w:sz w:val="24"/>
          <w:szCs w:val="24"/>
        </w:rPr>
      </w:pPr>
      <w:r>
        <w:rPr>
          <w:rFonts w:ascii="Times New Roman" w:eastAsia="Times New Roman" w:hAnsi="Times New Roman"/>
          <w:color w:val="000000"/>
          <w:sz w:val="24"/>
          <w:szCs w:val="24"/>
          <w:u w:val="single"/>
        </w:rPr>
        <w:t xml:space="preserve">a. </w:t>
      </w:r>
      <w:r>
        <w:rPr>
          <w:rFonts w:ascii="Times New Roman" w:eastAsia="Times New Roman" w:hAnsi="Times New Roman"/>
          <w:color w:val="000000"/>
          <w:sz w:val="24"/>
          <w:szCs w:val="24"/>
        </w:rPr>
        <w:t xml:space="preserve"> </w:t>
      </w:r>
      <w:r w:rsidRPr="008C2DFA">
        <w:rPr>
          <w:rFonts w:ascii="Times New Roman" w:eastAsia="Times New Roman" w:hAnsi="Times New Roman"/>
          <w:color w:val="000000"/>
          <w:sz w:val="24"/>
          <w:szCs w:val="24"/>
        </w:rPr>
        <w:t xml:space="preserve">Any contract made pursuant to P.L.1971, c.198 (C.40A:11-1 et seq.) may include liquidated damages for the violation of any of the terms and conditions thereof or the failure to perform said contract in accordance with its terms and conditions, or the terms and conditions of P.L.1971, c.198 (C.40A:11-1 et seq.).  Notwithstanding any other provision of law to the contrary, it shall be void, unenforceable and against public policy for a provision in a contract entered into under P.L.1971, c.198 (C.40A:11-1 et seq.) to limit a contractor's remedy for the contracting unit's negligence, bad faith, active interference, tortious conduct, or other reasons </w:t>
      </w:r>
      <w:r w:rsidRPr="008C2DFA">
        <w:rPr>
          <w:rFonts w:ascii="Times New Roman" w:eastAsia="Times New Roman" w:hAnsi="Times New Roman"/>
          <w:color w:val="000000"/>
          <w:sz w:val="24"/>
          <w:szCs w:val="24"/>
        </w:rPr>
        <w:lastRenderedPageBreak/>
        <w:t xml:space="preserve">uncontemplated by the parties that delay the contractor's performance, to giving the contractor an extension of time for performance under the contract.  </w:t>
      </w:r>
    </w:p>
    <w:p w14:paraId="1B0E94F6" w14:textId="77777777" w:rsidR="00E45E98" w:rsidRDefault="00E45E98" w:rsidP="00E45E98">
      <w:pPr>
        <w:spacing w:after="0" w:line="276" w:lineRule="auto"/>
        <w:ind w:left="720" w:right="720"/>
        <w:jc w:val="both"/>
        <w:rPr>
          <w:rFonts w:ascii="Times New Roman" w:eastAsia="Times New Roman" w:hAnsi="Times New Roman"/>
          <w:color w:val="000000"/>
          <w:sz w:val="24"/>
          <w:szCs w:val="24"/>
        </w:rPr>
      </w:pPr>
    </w:p>
    <w:p w14:paraId="6AFFFA14" w14:textId="226E4491" w:rsidR="00E45E98" w:rsidRDefault="00E45E98" w:rsidP="00E45E98">
      <w:pPr>
        <w:spacing w:after="0" w:line="276" w:lineRule="auto"/>
        <w:ind w:left="720" w:right="720"/>
        <w:jc w:val="both"/>
        <w:rPr>
          <w:rFonts w:ascii="Times New Roman" w:hAnsi="Times New Roman"/>
          <w:sz w:val="24"/>
          <w:szCs w:val="24"/>
        </w:rPr>
      </w:pPr>
      <w:r>
        <w:rPr>
          <w:rFonts w:ascii="Times New Roman" w:eastAsia="Times New Roman" w:hAnsi="Times New Roman"/>
          <w:color w:val="000000"/>
          <w:sz w:val="24"/>
          <w:szCs w:val="24"/>
          <w:u w:val="single"/>
        </w:rPr>
        <w:t xml:space="preserve">b. </w:t>
      </w:r>
      <w:r w:rsidRPr="008C2DFA">
        <w:rPr>
          <w:rFonts w:ascii="Times New Roman" w:hAnsi="Times New Roman"/>
          <w:sz w:val="24"/>
          <w:szCs w:val="24"/>
          <w:u w:val="single"/>
        </w:rPr>
        <w:t xml:space="preserve">Nothing in this section shall be deemed to void any provisions in a contract, agreement or purchase order which limits a contractor's remedy for delayed performance caused by reasons contemplated by the parties nor shall the negligence of others be imputed to the </w:t>
      </w:r>
      <w:r w:rsidR="00DE7578">
        <w:rPr>
          <w:rFonts w:ascii="Times New Roman" w:hAnsi="Times New Roman"/>
          <w:sz w:val="24"/>
          <w:szCs w:val="24"/>
          <w:u w:val="single"/>
        </w:rPr>
        <w:t>contracting unit</w:t>
      </w:r>
      <w:r w:rsidRPr="008C2DFA">
        <w:rPr>
          <w:rFonts w:ascii="Times New Roman" w:hAnsi="Times New Roman"/>
          <w:sz w:val="24"/>
          <w:szCs w:val="24"/>
          <w:u w:val="single"/>
        </w:rPr>
        <w:t>.</w:t>
      </w:r>
    </w:p>
    <w:p w14:paraId="65BA7F12" w14:textId="77777777" w:rsidR="00E45E98" w:rsidRDefault="00E45E98" w:rsidP="00E45E98">
      <w:pPr>
        <w:spacing w:after="0" w:line="276" w:lineRule="auto"/>
        <w:ind w:left="720" w:right="720"/>
        <w:jc w:val="both"/>
        <w:rPr>
          <w:rFonts w:ascii="Times New Roman" w:hAnsi="Times New Roman"/>
          <w:sz w:val="24"/>
          <w:szCs w:val="24"/>
        </w:rPr>
      </w:pPr>
    </w:p>
    <w:p w14:paraId="291AB537" w14:textId="3CC816FC" w:rsidR="00E45E98" w:rsidRDefault="00E45E98" w:rsidP="00E45E98">
      <w:pPr>
        <w:spacing w:after="0" w:line="276" w:lineRule="auto"/>
        <w:ind w:left="720" w:right="720"/>
        <w:jc w:val="both"/>
        <w:rPr>
          <w:rFonts w:ascii="Times New Roman" w:eastAsia="Times New Roman" w:hAnsi="Times New Roman"/>
          <w:color w:val="000000"/>
          <w:sz w:val="24"/>
          <w:szCs w:val="24"/>
        </w:rPr>
      </w:pPr>
      <w:r>
        <w:rPr>
          <w:rFonts w:ascii="Times New Roman" w:eastAsia="Times New Roman" w:hAnsi="Times New Roman"/>
          <w:color w:val="000000"/>
          <w:sz w:val="24"/>
          <w:szCs w:val="24"/>
          <w:u w:val="single"/>
        </w:rPr>
        <w:t>c.</w:t>
      </w:r>
      <w:r>
        <w:rPr>
          <w:rFonts w:ascii="Times New Roman" w:eastAsia="Times New Roman" w:hAnsi="Times New Roman"/>
          <w:color w:val="000000"/>
          <w:sz w:val="24"/>
          <w:szCs w:val="24"/>
        </w:rPr>
        <w:t xml:space="preserve"> </w:t>
      </w:r>
      <w:r w:rsidRPr="008C2DFA">
        <w:rPr>
          <w:rFonts w:ascii="Times New Roman" w:eastAsia="Times New Roman" w:hAnsi="Times New Roman"/>
          <w:color w:val="000000"/>
          <w:sz w:val="24"/>
          <w:szCs w:val="24"/>
        </w:rPr>
        <w:t>For the purposes of this section, "contractor" means a person, his assignees or legal representatives with whom a contract with a contracting unit is made.</w:t>
      </w:r>
    </w:p>
    <w:p w14:paraId="6326A3A0" w14:textId="5C602869" w:rsidR="00D1120D" w:rsidRDefault="00D1120D" w:rsidP="00E45E98">
      <w:pPr>
        <w:spacing w:after="0" w:line="276" w:lineRule="auto"/>
        <w:ind w:left="720" w:right="720"/>
        <w:jc w:val="both"/>
        <w:rPr>
          <w:rFonts w:ascii="Times New Roman" w:eastAsia="Times New Roman" w:hAnsi="Times New Roman"/>
          <w:color w:val="000000"/>
          <w:sz w:val="24"/>
          <w:szCs w:val="24"/>
        </w:rPr>
      </w:pPr>
    </w:p>
    <w:p w14:paraId="79E39FAF" w14:textId="3E4A1AC5" w:rsidR="00E45E98" w:rsidRPr="008C2DFA" w:rsidRDefault="00E45E98" w:rsidP="00E45E98">
      <w:pPr>
        <w:spacing w:after="0" w:line="276" w:lineRule="auto"/>
        <w:ind w:left="720" w:right="720"/>
        <w:jc w:val="both"/>
        <w:rPr>
          <w:rFonts w:ascii="Times New Roman" w:eastAsia="Times New Roman" w:hAnsi="Times New Roman"/>
          <w:color w:val="000000"/>
          <w:sz w:val="24"/>
          <w:szCs w:val="24"/>
        </w:rPr>
      </w:pPr>
      <w:bookmarkStart w:id="1" w:name="_GoBack"/>
      <w:bookmarkEnd w:id="1"/>
      <w:r w:rsidRPr="008C2DFA">
        <w:rPr>
          <w:rFonts w:ascii="Times New Roman" w:eastAsia="Times New Roman" w:hAnsi="Times New Roman"/>
          <w:color w:val="000000"/>
          <w:sz w:val="24"/>
          <w:szCs w:val="24"/>
        </w:rPr>
        <w:t>L.1971, c.198, s.19; amended 1999, c.440, s.28; 2001, c.206, s.1.</w:t>
      </w:r>
    </w:p>
    <w:p w14:paraId="7734125F" w14:textId="77777777" w:rsidR="00E45E98" w:rsidRDefault="00E45E98" w:rsidP="00E45E98">
      <w:pPr>
        <w:jc w:val="both"/>
        <w:rPr>
          <w:rFonts w:ascii="Times New Roman" w:hAnsi="Times New Roman" w:cs="Times New Roman"/>
          <w:b/>
          <w:sz w:val="24"/>
          <w:szCs w:val="24"/>
        </w:rPr>
      </w:pPr>
    </w:p>
    <w:p w14:paraId="0E8E1BBE" w14:textId="77777777" w:rsidR="00E45E98" w:rsidRPr="00E45E98" w:rsidRDefault="00E45E98" w:rsidP="005A6F19">
      <w:pPr>
        <w:ind w:firstLine="720"/>
        <w:jc w:val="both"/>
        <w:rPr>
          <w:rFonts w:ascii="Times New Roman" w:hAnsi="Times New Roman" w:cs="Times New Roman"/>
          <w:b/>
          <w:sz w:val="24"/>
          <w:szCs w:val="24"/>
        </w:rPr>
      </w:pPr>
      <w:r w:rsidRPr="00E45E98">
        <w:rPr>
          <w:rFonts w:ascii="Times New Roman" w:hAnsi="Times New Roman" w:cs="Times New Roman"/>
          <w:b/>
          <w:bCs/>
          <w:sz w:val="24"/>
          <w:szCs w:val="24"/>
        </w:rPr>
        <w:t>18A:18A-41. Liquidated damages</w:t>
      </w:r>
    </w:p>
    <w:p w14:paraId="5570E6B1" w14:textId="2F1C7C47" w:rsidR="00BD6EE8" w:rsidRDefault="00BD6EE8" w:rsidP="00BD6EE8">
      <w:pPr>
        <w:ind w:left="720" w:right="720"/>
        <w:jc w:val="both"/>
        <w:rPr>
          <w:rFonts w:ascii="Times New Roman" w:hAnsi="Times New Roman" w:cs="Times New Roman"/>
          <w:sz w:val="24"/>
          <w:szCs w:val="24"/>
        </w:rPr>
      </w:pPr>
      <w:r>
        <w:rPr>
          <w:rFonts w:ascii="Times New Roman" w:hAnsi="Times New Roman" w:cs="Times New Roman"/>
          <w:sz w:val="24"/>
          <w:szCs w:val="24"/>
          <w:u w:val="single"/>
        </w:rPr>
        <w:t>a.</w:t>
      </w:r>
      <w:r>
        <w:rPr>
          <w:rFonts w:ascii="Times New Roman" w:hAnsi="Times New Roman" w:cs="Times New Roman"/>
          <w:sz w:val="24"/>
          <w:szCs w:val="24"/>
        </w:rPr>
        <w:t xml:space="preserve"> </w:t>
      </w:r>
      <w:r w:rsidR="00E45E98" w:rsidRPr="00E45E98">
        <w:rPr>
          <w:rFonts w:ascii="Times New Roman" w:hAnsi="Times New Roman" w:cs="Times New Roman"/>
          <w:sz w:val="24"/>
          <w:szCs w:val="24"/>
        </w:rPr>
        <w:t xml:space="preserve">Any contract made pursuant to chapter 18A of Title 18A of the New Jersey Statutes may include liquidated damages for the violation of any of the terms and conditions thereof or the failure to perform said contract in accordance with its terms and conditions, or the terms and conditions of chapter 18A of Title 18A of the New Jersey Statutes. Notwithstanding any other provision of law to the contrary, it shall be void, unenforceable and against public policy for a provision in a contract entered into under Chapter 18A of Title 18A of the New Jersey Statutes to limit a contractor's remedy for the </w:t>
      </w:r>
      <w:r w:rsidR="00E45E98" w:rsidRPr="00B51A02">
        <w:rPr>
          <w:rFonts w:ascii="Times New Roman" w:hAnsi="Times New Roman" w:cs="Times New Roman"/>
          <w:sz w:val="24"/>
          <w:szCs w:val="24"/>
        </w:rPr>
        <w:t>contracting</w:t>
      </w:r>
      <w:r w:rsidR="00E45E98" w:rsidRPr="00E45E98">
        <w:rPr>
          <w:rFonts w:ascii="Times New Roman" w:hAnsi="Times New Roman" w:cs="Times New Roman"/>
          <w:sz w:val="24"/>
          <w:szCs w:val="24"/>
        </w:rPr>
        <w:t xml:space="preserve"> unit's negligence, bad faith, active interference, tortious conduct, or other reasons uncontemplated by the parties that delay the contractor's performance, to giving the contractor an extension of time for performance under the contract. </w:t>
      </w:r>
    </w:p>
    <w:p w14:paraId="183D4A37" w14:textId="0A9CDA18" w:rsidR="00BD6EE8" w:rsidRDefault="00BD6EE8" w:rsidP="00BD6EE8">
      <w:pPr>
        <w:spacing w:after="0" w:line="276" w:lineRule="auto"/>
        <w:ind w:left="720" w:right="720"/>
        <w:jc w:val="both"/>
        <w:rPr>
          <w:rFonts w:ascii="Times New Roman" w:hAnsi="Times New Roman"/>
          <w:sz w:val="24"/>
          <w:szCs w:val="24"/>
        </w:rPr>
      </w:pPr>
      <w:r>
        <w:rPr>
          <w:rFonts w:ascii="Times New Roman" w:eastAsia="Times New Roman" w:hAnsi="Times New Roman"/>
          <w:color w:val="000000"/>
          <w:sz w:val="24"/>
          <w:szCs w:val="24"/>
          <w:u w:val="single"/>
        </w:rPr>
        <w:t xml:space="preserve">b. </w:t>
      </w:r>
      <w:r w:rsidRPr="008C2DFA">
        <w:rPr>
          <w:rFonts w:ascii="Times New Roman" w:hAnsi="Times New Roman"/>
          <w:sz w:val="24"/>
          <w:szCs w:val="24"/>
          <w:u w:val="single"/>
        </w:rPr>
        <w:t xml:space="preserve">Nothing in this section shall be deemed to void any provisions in a contract, agreement or purchase order which limits a contractor's remedy for delayed performance caused by reasons contemplated by the parties nor shall the negligence of others be imputed to the </w:t>
      </w:r>
      <w:r w:rsidR="00B51A02">
        <w:rPr>
          <w:rFonts w:ascii="Times New Roman" w:hAnsi="Times New Roman"/>
          <w:sz w:val="24"/>
          <w:szCs w:val="24"/>
          <w:u w:val="single"/>
        </w:rPr>
        <w:t>contracting</w:t>
      </w:r>
      <w:r w:rsidR="0066041C">
        <w:rPr>
          <w:rFonts w:ascii="Times New Roman" w:hAnsi="Times New Roman"/>
          <w:sz w:val="24"/>
          <w:szCs w:val="24"/>
          <w:u w:val="single"/>
        </w:rPr>
        <w:t xml:space="preserve"> unit</w:t>
      </w:r>
      <w:r w:rsidRPr="008C2DFA">
        <w:rPr>
          <w:rFonts w:ascii="Times New Roman" w:hAnsi="Times New Roman"/>
          <w:sz w:val="24"/>
          <w:szCs w:val="24"/>
          <w:u w:val="single"/>
        </w:rPr>
        <w:t>.</w:t>
      </w:r>
    </w:p>
    <w:p w14:paraId="0254D0B0" w14:textId="77777777" w:rsidR="00BD6EE8" w:rsidRDefault="00BD6EE8" w:rsidP="00BD6EE8">
      <w:pPr>
        <w:spacing w:after="0" w:line="276" w:lineRule="auto"/>
        <w:ind w:left="720" w:right="720"/>
        <w:jc w:val="both"/>
        <w:rPr>
          <w:rFonts w:ascii="Times New Roman" w:hAnsi="Times New Roman"/>
          <w:sz w:val="24"/>
          <w:szCs w:val="24"/>
        </w:rPr>
      </w:pPr>
    </w:p>
    <w:p w14:paraId="46A5F199" w14:textId="1F056591" w:rsidR="00DE7578" w:rsidRDefault="00BD6EE8" w:rsidP="00DE7578">
      <w:pPr>
        <w:spacing w:after="0" w:line="276" w:lineRule="auto"/>
        <w:ind w:left="720" w:right="720"/>
        <w:jc w:val="both"/>
        <w:rPr>
          <w:rFonts w:ascii="Times New Roman" w:eastAsia="Times New Roman" w:hAnsi="Times New Roman"/>
          <w:color w:val="000000"/>
          <w:sz w:val="24"/>
          <w:szCs w:val="24"/>
        </w:rPr>
      </w:pPr>
      <w:r>
        <w:rPr>
          <w:rFonts w:ascii="Times New Roman" w:eastAsia="Times New Roman" w:hAnsi="Times New Roman"/>
          <w:color w:val="000000"/>
          <w:sz w:val="24"/>
          <w:szCs w:val="24"/>
          <w:u w:val="single"/>
        </w:rPr>
        <w:t>c.</w:t>
      </w:r>
      <w:r>
        <w:rPr>
          <w:rFonts w:ascii="Times New Roman" w:eastAsia="Times New Roman" w:hAnsi="Times New Roman"/>
          <w:color w:val="000000"/>
          <w:sz w:val="24"/>
          <w:szCs w:val="24"/>
        </w:rPr>
        <w:t xml:space="preserve"> </w:t>
      </w:r>
      <w:r w:rsidRPr="008C2DFA">
        <w:rPr>
          <w:rFonts w:ascii="Times New Roman" w:eastAsia="Times New Roman" w:hAnsi="Times New Roman"/>
          <w:color w:val="000000"/>
          <w:sz w:val="24"/>
          <w:szCs w:val="24"/>
        </w:rPr>
        <w:t>For the purposes of this section, "contractor" means a person, his assignees or legal representatives with whom a contract with a contracting unit is made.</w:t>
      </w:r>
    </w:p>
    <w:p w14:paraId="2D1637B1" w14:textId="77777777" w:rsidR="005A6F19" w:rsidRDefault="005A6F19" w:rsidP="00DE7578">
      <w:pPr>
        <w:spacing w:after="0" w:line="276" w:lineRule="auto"/>
        <w:ind w:left="720" w:right="720"/>
        <w:jc w:val="both"/>
        <w:rPr>
          <w:rFonts w:ascii="Times New Roman" w:eastAsia="Times New Roman" w:hAnsi="Times New Roman"/>
          <w:color w:val="000000"/>
          <w:sz w:val="24"/>
          <w:szCs w:val="24"/>
        </w:rPr>
      </w:pPr>
    </w:p>
    <w:p w14:paraId="17F4A408" w14:textId="3B585447" w:rsidR="00E45E98" w:rsidRPr="00DE7578" w:rsidRDefault="00E45E98" w:rsidP="00DE7578">
      <w:pPr>
        <w:spacing w:after="0" w:line="276" w:lineRule="auto"/>
        <w:ind w:left="720" w:right="720"/>
        <w:jc w:val="both"/>
        <w:rPr>
          <w:rFonts w:ascii="Times New Roman" w:eastAsia="Times New Roman" w:hAnsi="Times New Roman"/>
          <w:color w:val="000000"/>
          <w:sz w:val="24"/>
          <w:szCs w:val="24"/>
        </w:rPr>
      </w:pPr>
      <w:r w:rsidRPr="00E45E98">
        <w:rPr>
          <w:rFonts w:ascii="Times New Roman" w:hAnsi="Times New Roman" w:cs="Times New Roman"/>
          <w:sz w:val="24"/>
          <w:szCs w:val="24"/>
        </w:rPr>
        <w:t>L.1977, c. 114, § 1, eff. June 2, 1977. Amended by L.1999, c. 440, § 77; L.2001, c. 206, § 2, eff. Aug. 8, 2001, eff. Apr. 17, 2000.</w:t>
      </w:r>
    </w:p>
    <w:sectPr w:rsidR="00E45E98" w:rsidRPr="00DE7578" w:rsidSect="008B6360">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1C5DBC" w14:textId="77777777" w:rsidR="00BF15EE" w:rsidRDefault="00BF15EE" w:rsidP="00690860">
      <w:pPr>
        <w:spacing w:after="0" w:line="240" w:lineRule="auto"/>
      </w:pPr>
      <w:r>
        <w:separator/>
      </w:r>
    </w:p>
  </w:endnote>
  <w:endnote w:type="continuationSeparator" w:id="0">
    <w:p w14:paraId="3C59221C" w14:textId="77777777" w:rsidR="00BF15EE" w:rsidRDefault="00BF15EE" w:rsidP="00690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E1D617" w14:textId="4324528E" w:rsidR="008B6360" w:rsidRPr="008B6360" w:rsidRDefault="008B6360" w:rsidP="00182E62">
    <w:pPr>
      <w:pStyle w:val="Footer"/>
      <w:jc w:val="center"/>
      <w:rPr>
        <w:rFonts w:ascii="Times New Roman" w:hAnsi="Times New Roman" w:cs="Times New Roman"/>
        <w:sz w:val="20"/>
        <w:szCs w:val="20"/>
      </w:rPr>
    </w:pPr>
    <w:r w:rsidRPr="008B6360">
      <w:rPr>
        <w:rFonts w:ascii="Times New Roman" w:hAnsi="Times New Roman" w:cs="Times New Roman"/>
        <w:sz w:val="20"/>
        <w:szCs w:val="20"/>
      </w:rPr>
      <w:t xml:space="preserve">Imputing Negligence to a Public Entity – Draft </w:t>
    </w:r>
    <w:r w:rsidR="0034198A">
      <w:rPr>
        <w:rFonts w:ascii="Times New Roman" w:hAnsi="Times New Roman" w:cs="Times New Roman"/>
        <w:sz w:val="20"/>
        <w:szCs w:val="20"/>
      </w:rPr>
      <w:t>Final</w:t>
    </w:r>
    <w:r w:rsidRPr="008B6360">
      <w:rPr>
        <w:rFonts w:ascii="Times New Roman" w:hAnsi="Times New Roman" w:cs="Times New Roman"/>
        <w:sz w:val="20"/>
        <w:szCs w:val="20"/>
      </w:rPr>
      <w:t xml:space="preserve"> Report – </w:t>
    </w:r>
    <w:r w:rsidR="0034198A">
      <w:rPr>
        <w:rFonts w:ascii="Times New Roman" w:hAnsi="Times New Roman" w:cs="Times New Roman"/>
        <w:sz w:val="20"/>
        <w:szCs w:val="20"/>
      </w:rPr>
      <w:t>June 10</w:t>
    </w:r>
    <w:r w:rsidRPr="008B6360">
      <w:rPr>
        <w:rFonts w:ascii="Times New Roman" w:hAnsi="Times New Roman" w:cs="Times New Roman"/>
        <w:sz w:val="20"/>
        <w:szCs w:val="20"/>
      </w:rPr>
      <w:t xml:space="preserve">, 2019 – Page </w:t>
    </w:r>
    <w:r w:rsidRPr="008B6360">
      <w:rPr>
        <w:rFonts w:ascii="Times New Roman" w:hAnsi="Times New Roman" w:cs="Times New Roman"/>
        <w:sz w:val="20"/>
        <w:szCs w:val="20"/>
      </w:rPr>
      <w:fldChar w:fldCharType="begin"/>
    </w:r>
    <w:r w:rsidRPr="008B6360">
      <w:rPr>
        <w:rFonts w:ascii="Times New Roman" w:hAnsi="Times New Roman" w:cs="Times New Roman"/>
        <w:sz w:val="20"/>
        <w:szCs w:val="20"/>
      </w:rPr>
      <w:instrText xml:space="preserve"> PAGE   \* MERGEFORMAT </w:instrText>
    </w:r>
    <w:r w:rsidRPr="008B6360">
      <w:rPr>
        <w:rFonts w:ascii="Times New Roman" w:hAnsi="Times New Roman" w:cs="Times New Roman"/>
        <w:sz w:val="20"/>
        <w:szCs w:val="20"/>
      </w:rPr>
      <w:fldChar w:fldCharType="separate"/>
    </w:r>
    <w:r w:rsidR="0034198A">
      <w:rPr>
        <w:rFonts w:ascii="Times New Roman" w:hAnsi="Times New Roman" w:cs="Times New Roman"/>
        <w:noProof/>
        <w:sz w:val="20"/>
        <w:szCs w:val="20"/>
      </w:rPr>
      <w:t>8</w:t>
    </w:r>
    <w:r w:rsidRPr="008B6360">
      <w:rPr>
        <w:rFonts w:ascii="Times New Roman" w:hAnsi="Times New Roman" w:cs="Times New Roman"/>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5FA483" w14:textId="77777777" w:rsidR="00BF15EE" w:rsidRDefault="00BF15EE" w:rsidP="00690860">
      <w:pPr>
        <w:spacing w:after="0" w:line="240" w:lineRule="auto"/>
      </w:pPr>
      <w:r>
        <w:separator/>
      </w:r>
    </w:p>
  </w:footnote>
  <w:footnote w:type="continuationSeparator" w:id="0">
    <w:p w14:paraId="7C2C4BB3" w14:textId="77777777" w:rsidR="00BF15EE" w:rsidRDefault="00BF15EE" w:rsidP="00690860">
      <w:pPr>
        <w:spacing w:after="0" w:line="240" w:lineRule="auto"/>
      </w:pPr>
      <w:r>
        <w:continuationSeparator/>
      </w:r>
    </w:p>
  </w:footnote>
  <w:footnote w:id="1">
    <w:p w14:paraId="0D91DA47" w14:textId="7E514B2B" w:rsidR="006042F7" w:rsidRPr="008B6360" w:rsidRDefault="006042F7">
      <w:pPr>
        <w:pStyle w:val="FootnoteText"/>
        <w:rPr>
          <w:rFonts w:ascii="Times New Roman" w:hAnsi="Times New Roman" w:cs="Times New Roman"/>
        </w:rPr>
      </w:pPr>
      <w:r w:rsidRPr="00FF33D6">
        <w:rPr>
          <w:rStyle w:val="FootnoteReference"/>
          <w:rFonts w:ascii="Times New Roman" w:hAnsi="Times New Roman" w:cs="Times New Roman"/>
        </w:rPr>
        <w:footnoteRef/>
      </w:r>
      <w:r w:rsidRPr="00FF33D6">
        <w:rPr>
          <w:rFonts w:ascii="Times New Roman" w:hAnsi="Times New Roman" w:cs="Times New Roman"/>
        </w:rPr>
        <w:t xml:space="preserve"> </w:t>
      </w:r>
      <w:r w:rsidR="008B6360" w:rsidRPr="008B6360">
        <w:rPr>
          <w:rFonts w:ascii="Times New Roman" w:hAnsi="Times New Roman" w:cs="Times New Roman"/>
          <w:i/>
        </w:rPr>
        <w:t xml:space="preserve">City of Perth Amboy v. Interstate Industrial Corp., </w:t>
      </w:r>
      <w:r w:rsidR="008B6360" w:rsidRPr="008B6360">
        <w:rPr>
          <w:rFonts w:ascii="Times New Roman" w:hAnsi="Times New Roman" w:cs="Times New Roman"/>
        </w:rPr>
        <w:t>2017 WL 2152738</w:t>
      </w:r>
      <w:r w:rsidR="008B6360">
        <w:rPr>
          <w:rFonts w:ascii="Times New Roman" w:hAnsi="Times New Roman" w:cs="Times New Roman"/>
        </w:rPr>
        <w:t>, *1</w:t>
      </w:r>
      <w:r w:rsidR="008B6360" w:rsidRPr="008B6360">
        <w:rPr>
          <w:rFonts w:ascii="Times New Roman" w:hAnsi="Times New Roman" w:cs="Times New Roman"/>
        </w:rPr>
        <w:t xml:space="preserve"> (App. Div. 2017)</w:t>
      </w:r>
      <w:r w:rsidR="00FF33D6" w:rsidRPr="008B6360">
        <w:rPr>
          <w:rFonts w:ascii="Times New Roman" w:hAnsi="Times New Roman" w:cs="Times New Roman"/>
        </w:rPr>
        <w:t>.</w:t>
      </w:r>
    </w:p>
  </w:footnote>
  <w:footnote w:id="2">
    <w:p w14:paraId="29387D17" w14:textId="79860FC0" w:rsidR="00BC51D9" w:rsidRPr="00FF33D6" w:rsidRDefault="00BC51D9">
      <w:pPr>
        <w:pStyle w:val="FootnoteText"/>
        <w:rPr>
          <w:rFonts w:ascii="Times New Roman" w:hAnsi="Times New Roman" w:cs="Times New Roman"/>
        </w:rPr>
      </w:pPr>
      <w:r w:rsidRPr="00FF33D6">
        <w:rPr>
          <w:rStyle w:val="FootnoteReference"/>
          <w:rFonts w:ascii="Times New Roman" w:hAnsi="Times New Roman" w:cs="Times New Roman"/>
        </w:rPr>
        <w:footnoteRef/>
      </w:r>
      <w:r w:rsidRPr="00FF33D6">
        <w:rPr>
          <w:rFonts w:ascii="Times New Roman" w:hAnsi="Times New Roman" w:cs="Times New Roman"/>
        </w:rPr>
        <w:t xml:space="preserve"> </w:t>
      </w:r>
      <w:r w:rsidRPr="00FF33D6">
        <w:rPr>
          <w:rFonts w:ascii="Times New Roman" w:hAnsi="Times New Roman" w:cs="Times New Roman"/>
          <w:i/>
        </w:rPr>
        <w:t>Id.</w:t>
      </w:r>
    </w:p>
  </w:footnote>
  <w:footnote w:id="3">
    <w:p w14:paraId="7C8973DF" w14:textId="77777777" w:rsidR="00690860" w:rsidRPr="00FF33D6" w:rsidRDefault="00690860" w:rsidP="00690860">
      <w:pPr>
        <w:pStyle w:val="FootnoteText"/>
        <w:rPr>
          <w:rFonts w:ascii="Times New Roman" w:hAnsi="Times New Roman" w:cs="Times New Roman"/>
          <w:i/>
        </w:rPr>
      </w:pPr>
      <w:r w:rsidRPr="00FF33D6">
        <w:rPr>
          <w:rStyle w:val="FootnoteReference"/>
          <w:rFonts w:ascii="Times New Roman" w:hAnsi="Times New Roman" w:cs="Times New Roman"/>
        </w:rPr>
        <w:footnoteRef/>
      </w:r>
      <w:r w:rsidRPr="00FF33D6">
        <w:rPr>
          <w:rFonts w:ascii="Times New Roman" w:hAnsi="Times New Roman" w:cs="Times New Roman"/>
        </w:rPr>
        <w:t xml:space="preserve"> </w:t>
      </w:r>
      <w:r w:rsidRPr="00FF33D6">
        <w:rPr>
          <w:rFonts w:ascii="Times New Roman" w:hAnsi="Times New Roman" w:cs="Times New Roman"/>
          <w:i/>
        </w:rPr>
        <w:t>Id.</w:t>
      </w:r>
    </w:p>
  </w:footnote>
  <w:footnote w:id="4">
    <w:p w14:paraId="2C00776A" w14:textId="46A256A4" w:rsidR="00120D58" w:rsidRPr="00FF33D6" w:rsidRDefault="00120D58">
      <w:pPr>
        <w:pStyle w:val="FootnoteText"/>
        <w:rPr>
          <w:rFonts w:ascii="Times New Roman" w:hAnsi="Times New Roman" w:cs="Times New Roman"/>
        </w:rPr>
      </w:pPr>
      <w:r w:rsidRPr="00FF33D6">
        <w:rPr>
          <w:rStyle w:val="FootnoteReference"/>
          <w:rFonts w:ascii="Times New Roman" w:hAnsi="Times New Roman" w:cs="Times New Roman"/>
        </w:rPr>
        <w:footnoteRef/>
      </w:r>
      <w:r w:rsidRPr="00FF33D6">
        <w:rPr>
          <w:rFonts w:ascii="Times New Roman" w:hAnsi="Times New Roman" w:cs="Times New Roman"/>
        </w:rPr>
        <w:t xml:space="preserve"> </w:t>
      </w:r>
      <w:r w:rsidRPr="00FF33D6">
        <w:rPr>
          <w:rFonts w:ascii="Times New Roman" w:hAnsi="Times New Roman" w:cs="Times New Roman"/>
          <w:i/>
        </w:rPr>
        <w:t>Id.</w:t>
      </w:r>
    </w:p>
  </w:footnote>
  <w:footnote w:id="5">
    <w:p w14:paraId="402F3762" w14:textId="21C4525F" w:rsidR="00690860" w:rsidRPr="00FF33D6" w:rsidRDefault="00690860" w:rsidP="00690860">
      <w:pPr>
        <w:pStyle w:val="FootnoteText"/>
      </w:pPr>
      <w:r w:rsidRPr="00FF33D6">
        <w:rPr>
          <w:rStyle w:val="FootnoteReference"/>
          <w:rFonts w:ascii="Times New Roman" w:hAnsi="Times New Roman" w:cs="Times New Roman"/>
        </w:rPr>
        <w:footnoteRef/>
      </w:r>
      <w:r w:rsidRPr="00FF33D6">
        <w:rPr>
          <w:rFonts w:ascii="Times New Roman" w:hAnsi="Times New Roman" w:cs="Times New Roman"/>
        </w:rPr>
        <w:t xml:space="preserve"> </w:t>
      </w:r>
      <w:r w:rsidRPr="00FF33D6">
        <w:rPr>
          <w:rFonts w:ascii="Times New Roman" w:hAnsi="Times New Roman" w:cs="Times New Roman"/>
          <w:i/>
        </w:rPr>
        <w:t>Id.</w:t>
      </w:r>
      <w:r w:rsidR="00FF33D6">
        <w:t xml:space="preserve"> </w:t>
      </w:r>
      <w:r w:rsidR="00FF33D6" w:rsidRPr="00FF33D6">
        <w:rPr>
          <w:rFonts w:ascii="Times New Roman" w:hAnsi="Times New Roman" w:cs="Times New Roman"/>
        </w:rPr>
        <w:t>at *2</w:t>
      </w:r>
      <w:r w:rsidR="00FF33D6">
        <w:rPr>
          <w:rFonts w:ascii="Times New Roman" w:hAnsi="Times New Roman" w:cs="Times New Roman"/>
        </w:rPr>
        <w:t>.</w:t>
      </w:r>
    </w:p>
  </w:footnote>
  <w:footnote w:id="6">
    <w:p w14:paraId="6E6C90BA" w14:textId="0238D239" w:rsidR="00690860" w:rsidRPr="00FF33D6" w:rsidRDefault="00690860" w:rsidP="00690860">
      <w:pPr>
        <w:pStyle w:val="FootnoteText"/>
        <w:rPr>
          <w:rFonts w:ascii="Times New Roman" w:hAnsi="Times New Roman" w:cs="Times New Roman"/>
        </w:rPr>
      </w:pPr>
      <w:r w:rsidRPr="00FF33D6">
        <w:rPr>
          <w:rStyle w:val="FootnoteReference"/>
          <w:rFonts w:ascii="Times New Roman" w:hAnsi="Times New Roman" w:cs="Times New Roman"/>
        </w:rPr>
        <w:footnoteRef/>
      </w:r>
      <w:r w:rsidRPr="00FF33D6">
        <w:rPr>
          <w:rFonts w:ascii="Times New Roman" w:hAnsi="Times New Roman" w:cs="Times New Roman"/>
        </w:rPr>
        <w:t xml:space="preserve"> </w:t>
      </w:r>
      <w:r w:rsidRPr="00FF33D6">
        <w:rPr>
          <w:rFonts w:ascii="Times New Roman" w:hAnsi="Times New Roman" w:cs="Times New Roman"/>
          <w:i/>
        </w:rPr>
        <w:t>Id.</w:t>
      </w:r>
    </w:p>
  </w:footnote>
  <w:footnote w:id="7">
    <w:p w14:paraId="23E78062" w14:textId="104A5B76" w:rsidR="00FF33D6" w:rsidRPr="00FF33D6" w:rsidRDefault="00FF33D6">
      <w:pPr>
        <w:pStyle w:val="FootnoteText"/>
        <w:rPr>
          <w:rFonts w:ascii="Times New Roman" w:hAnsi="Times New Roman" w:cs="Times New Roman"/>
        </w:rPr>
      </w:pPr>
      <w:r w:rsidRPr="00FF33D6">
        <w:rPr>
          <w:rStyle w:val="FootnoteReference"/>
          <w:rFonts w:ascii="Times New Roman" w:hAnsi="Times New Roman" w:cs="Times New Roman"/>
        </w:rPr>
        <w:footnoteRef/>
      </w:r>
      <w:r w:rsidRPr="00FF33D6">
        <w:rPr>
          <w:rFonts w:ascii="Times New Roman" w:hAnsi="Times New Roman" w:cs="Times New Roman"/>
        </w:rPr>
        <w:t xml:space="preserve"> </w:t>
      </w:r>
      <w:r w:rsidRPr="00FF33D6">
        <w:rPr>
          <w:rFonts w:ascii="Times New Roman" w:hAnsi="Times New Roman" w:cs="Times New Roman"/>
          <w:i/>
        </w:rPr>
        <w:t>Id.</w:t>
      </w:r>
    </w:p>
  </w:footnote>
  <w:footnote w:id="8">
    <w:p w14:paraId="76BDF32A" w14:textId="41969EDC" w:rsidR="00FF33D6" w:rsidRPr="00FF33D6" w:rsidRDefault="00FF33D6">
      <w:pPr>
        <w:pStyle w:val="FootnoteText"/>
        <w:rPr>
          <w:rFonts w:ascii="Times New Roman" w:hAnsi="Times New Roman" w:cs="Times New Roman"/>
        </w:rPr>
      </w:pPr>
      <w:r w:rsidRPr="00FF33D6">
        <w:rPr>
          <w:rStyle w:val="FootnoteReference"/>
          <w:rFonts w:ascii="Times New Roman" w:hAnsi="Times New Roman" w:cs="Times New Roman"/>
        </w:rPr>
        <w:footnoteRef/>
      </w:r>
      <w:r w:rsidRPr="00FF33D6">
        <w:rPr>
          <w:rFonts w:ascii="Times New Roman" w:hAnsi="Times New Roman" w:cs="Times New Roman"/>
        </w:rPr>
        <w:t xml:space="preserve"> </w:t>
      </w:r>
      <w:r w:rsidRPr="00FF33D6">
        <w:rPr>
          <w:rFonts w:ascii="Times New Roman" w:hAnsi="Times New Roman" w:cs="Times New Roman"/>
          <w:i/>
        </w:rPr>
        <w:t>Id.</w:t>
      </w:r>
      <w:r w:rsidRPr="00FF33D6">
        <w:rPr>
          <w:rFonts w:ascii="Times New Roman" w:hAnsi="Times New Roman" w:cs="Times New Roman"/>
        </w:rPr>
        <w:t xml:space="preserve"> at *3</w:t>
      </w:r>
      <w:r>
        <w:rPr>
          <w:rFonts w:ascii="Times New Roman" w:hAnsi="Times New Roman" w:cs="Times New Roman"/>
        </w:rPr>
        <w:t>.</w:t>
      </w:r>
    </w:p>
  </w:footnote>
  <w:footnote w:id="9">
    <w:p w14:paraId="55F91F83" w14:textId="289A46B0" w:rsidR="00690860" w:rsidRPr="00FF33D6" w:rsidRDefault="00690860" w:rsidP="00690860">
      <w:pPr>
        <w:pStyle w:val="FootnoteText"/>
        <w:rPr>
          <w:rFonts w:ascii="Times New Roman" w:hAnsi="Times New Roman" w:cs="Times New Roman"/>
        </w:rPr>
      </w:pPr>
      <w:r w:rsidRPr="00FF33D6">
        <w:rPr>
          <w:rStyle w:val="FootnoteReference"/>
          <w:rFonts w:ascii="Times New Roman" w:hAnsi="Times New Roman" w:cs="Times New Roman"/>
        </w:rPr>
        <w:footnoteRef/>
      </w:r>
      <w:r w:rsidRPr="00FF33D6">
        <w:rPr>
          <w:rFonts w:ascii="Times New Roman" w:hAnsi="Times New Roman" w:cs="Times New Roman"/>
        </w:rPr>
        <w:t xml:space="preserve"> </w:t>
      </w:r>
      <w:r w:rsidRPr="00FF33D6">
        <w:rPr>
          <w:rFonts w:ascii="Times New Roman" w:hAnsi="Times New Roman" w:cs="Times New Roman"/>
          <w:i/>
        </w:rPr>
        <w:t>Id.</w:t>
      </w:r>
    </w:p>
  </w:footnote>
  <w:footnote w:id="10">
    <w:p w14:paraId="43E90AA5" w14:textId="65BDB25B" w:rsidR="00D210DC" w:rsidRPr="00FF33D6" w:rsidRDefault="00D210DC">
      <w:pPr>
        <w:pStyle w:val="FootnoteText"/>
        <w:rPr>
          <w:rFonts w:ascii="Times New Roman" w:hAnsi="Times New Roman" w:cs="Times New Roman"/>
        </w:rPr>
      </w:pPr>
      <w:r w:rsidRPr="00FF33D6">
        <w:rPr>
          <w:rStyle w:val="FootnoteReference"/>
          <w:rFonts w:ascii="Times New Roman" w:hAnsi="Times New Roman" w:cs="Times New Roman"/>
        </w:rPr>
        <w:footnoteRef/>
      </w:r>
      <w:r w:rsidRPr="00FF33D6">
        <w:rPr>
          <w:rFonts w:ascii="Times New Roman" w:hAnsi="Times New Roman" w:cs="Times New Roman"/>
        </w:rPr>
        <w:t xml:space="preserve"> </w:t>
      </w:r>
      <w:r w:rsidR="00D41208" w:rsidRPr="00FF33D6">
        <w:rPr>
          <w:rFonts w:ascii="Times New Roman" w:hAnsi="Times New Roman" w:cs="Times New Roman"/>
          <w:i/>
        </w:rPr>
        <w:t>Id.</w:t>
      </w:r>
      <w:r w:rsidR="00D41208" w:rsidRPr="00FF33D6">
        <w:rPr>
          <w:rFonts w:ascii="Times New Roman" w:hAnsi="Times New Roman" w:cs="Times New Roman"/>
        </w:rPr>
        <w:t xml:space="preserve"> at *10</w:t>
      </w:r>
      <w:r w:rsidR="00FF33D6">
        <w:rPr>
          <w:rFonts w:ascii="Times New Roman" w:hAnsi="Times New Roman" w:cs="Times New Roman"/>
        </w:rPr>
        <w:t>.</w:t>
      </w:r>
    </w:p>
  </w:footnote>
  <w:footnote w:id="11">
    <w:p w14:paraId="626199C2" w14:textId="5CB9FA21" w:rsidR="00D41208" w:rsidRPr="00FF33D6" w:rsidRDefault="00D41208">
      <w:pPr>
        <w:pStyle w:val="FootnoteText"/>
        <w:rPr>
          <w:rFonts w:ascii="Times New Roman" w:hAnsi="Times New Roman" w:cs="Times New Roman"/>
        </w:rPr>
      </w:pPr>
      <w:r w:rsidRPr="00FF33D6">
        <w:rPr>
          <w:rStyle w:val="FootnoteReference"/>
          <w:rFonts w:ascii="Times New Roman" w:hAnsi="Times New Roman" w:cs="Times New Roman"/>
        </w:rPr>
        <w:footnoteRef/>
      </w:r>
      <w:r w:rsidRPr="00FF33D6">
        <w:rPr>
          <w:rFonts w:ascii="Times New Roman" w:hAnsi="Times New Roman" w:cs="Times New Roman"/>
        </w:rPr>
        <w:t xml:space="preserve"> </w:t>
      </w:r>
      <w:r w:rsidRPr="00FF33D6">
        <w:rPr>
          <w:rFonts w:ascii="Times New Roman" w:hAnsi="Times New Roman" w:cs="Times New Roman"/>
          <w:i/>
        </w:rPr>
        <w:t>Id.</w:t>
      </w:r>
    </w:p>
  </w:footnote>
  <w:footnote w:id="12">
    <w:p w14:paraId="513ACCD0" w14:textId="13F0795D" w:rsidR="00690860" w:rsidRPr="00FF33D6" w:rsidRDefault="00690860" w:rsidP="00690860">
      <w:pPr>
        <w:pStyle w:val="FootnoteText"/>
        <w:rPr>
          <w:rFonts w:ascii="Times New Roman" w:hAnsi="Times New Roman" w:cs="Times New Roman"/>
        </w:rPr>
      </w:pPr>
      <w:r w:rsidRPr="00FF33D6">
        <w:rPr>
          <w:rStyle w:val="FootnoteReference"/>
          <w:rFonts w:ascii="Times New Roman" w:hAnsi="Times New Roman" w:cs="Times New Roman"/>
        </w:rPr>
        <w:footnoteRef/>
      </w:r>
      <w:r w:rsidRPr="00FF33D6">
        <w:rPr>
          <w:rFonts w:ascii="Times New Roman" w:hAnsi="Times New Roman" w:cs="Times New Roman"/>
        </w:rPr>
        <w:t xml:space="preserve"> </w:t>
      </w:r>
      <w:r w:rsidRPr="00FF33D6">
        <w:rPr>
          <w:rFonts w:ascii="Times New Roman" w:hAnsi="Times New Roman" w:cs="Times New Roman"/>
          <w:i/>
        </w:rPr>
        <w:t>Id.</w:t>
      </w:r>
    </w:p>
  </w:footnote>
  <w:footnote w:id="13">
    <w:p w14:paraId="57D03ACD" w14:textId="77777777" w:rsidR="00690860" w:rsidRPr="00FF33D6" w:rsidRDefault="00690860" w:rsidP="00690860">
      <w:pPr>
        <w:pStyle w:val="FootnoteText"/>
        <w:rPr>
          <w:rFonts w:ascii="Times New Roman" w:hAnsi="Times New Roman" w:cs="Times New Roman"/>
        </w:rPr>
      </w:pPr>
      <w:r w:rsidRPr="00FF33D6">
        <w:rPr>
          <w:rStyle w:val="FootnoteReference"/>
          <w:rFonts w:ascii="Times New Roman" w:hAnsi="Times New Roman" w:cs="Times New Roman"/>
        </w:rPr>
        <w:footnoteRef/>
      </w:r>
      <w:r w:rsidRPr="00FF33D6">
        <w:rPr>
          <w:rFonts w:ascii="Times New Roman" w:hAnsi="Times New Roman" w:cs="Times New Roman"/>
        </w:rPr>
        <w:t xml:space="preserve"> </w:t>
      </w:r>
      <w:r w:rsidRPr="00FF33D6">
        <w:rPr>
          <w:rFonts w:ascii="Times New Roman" w:hAnsi="Times New Roman" w:cs="Times New Roman"/>
          <w:i/>
        </w:rPr>
        <w:t xml:space="preserve">Id. </w:t>
      </w:r>
      <w:r w:rsidRPr="00FF33D6">
        <w:rPr>
          <w:rFonts w:ascii="Times New Roman" w:hAnsi="Times New Roman" w:cs="Times New Roman"/>
        </w:rPr>
        <w:t>at *11.</w:t>
      </w:r>
    </w:p>
  </w:footnote>
  <w:footnote w:id="14">
    <w:p w14:paraId="5304CBE2" w14:textId="59F6279B" w:rsidR="00634139" w:rsidRPr="00FF33D6" w:rsidRDefault="00634139">
      <w:pPr>
        <w:pStyle w:val="FootnoteText"/>
        <w:rPr>
          <w:rFonts w:ascii="Times New Roman" w:hAnsi="Times New Roman" w:cs="Times New Roman"/>
        </w:rPr>
      </w:pPr>
      <w:r w:rsidRPr="00FF33D6">
        <w:rPr>
          <w:rStyle w:val="FootnoteReference"/>
          <w:rFonts w:ascii="Times New Roman" w:hAnsi="Times New Roman" w:cs="Times New Roman"/>
        </w:rPr>
        <w:footnoteRef/>
      </w:r>
      <w:r w:rsidRPr="00FF33D6">
        <w:rPr>
          <w:rFonts w:ascii="Times New Roman" w:hAnsi="Times New Roman" w:cs="Times New Roman"/>
        </w:rPr>
        <w:t xml:space="preserve"> </w:t>
      </w:r>
      <w:r w:rsidRPr="00FF33D6">
        <w:rPr>
          <w:rFonts w:ascii="Times New Roman" w:hAnsi="Times New Roman" w:cs="Times New Roman"/>
          <w:i/>
        </w:rPr>
        <w:t>Id.</w:t>
      </w:r>
    </w:p>
  </w:footnote>
  <w:footnote w:id="15">
    <w:p w14:paraId="4B238EEA" w14:textId="4CB19795" w:rsidR="00D41208" w:rsidRPr="00FF33D6" w:rsidRDefault="00D41208">
      <w:pPr>
        <w:pStyle w:val="FootnoteText"/>
        <w:rPr>
          <w:rFonts w:ascii="Times New Roman" w:hAnsi="Times New Roman" w:cs="Times New Roman"/>
          <w:i/>
        </w:rPr>
      </w:pPr>
      <w:r w:rsidRPr="00FF33D6">
        <w:rPr>
          <w:rStyle w:val="FootnoteReference"/>
          <w:rFonts w:ascii="Times New Roman" w:hAnsi="Times New Roman" w:cs="Times New Roman"/>
        </w:rPr>
        <w:footnoteRef/>
      </w:r>
      <w:r w:rsidRPr="00FF33D6">
        <w:rPr>
          <w:rFonts w:ascii="Times New Roman" w:hAnsi="Times New Roman" w:cs="Times New Roman"/>
        </w:rPr>
        <w:t xml:space="preserve"> </w:t>
      </w:r>
      <w:r w:rsidRPr="00FF33D6">
        <w:rPr>
          <w:rFonts w:ascii="Times New Roman" w:hAnsi="Times New Roman" w:cs="Times New Roman"/>
          <w:i/>
        </w:rPr>
        <w:t>Id.</w:t>
      </w:r>
    </w:p>
  </w:footnote>
  <w:footnote w:id="16">
    <w:p w14:paraId="4C7E0E45" w14:textId="38DB23F8" w:rsidR="00D41208" w:rsidRPr="00FF33D6" w:rsidRDefault="00D41208">
      <w:pPr>
        <w:pStyle w:val="FootnoteText"/>
        <w:rPr>
          <w:rFonts w:ascii="Times New Roman" w:hAnsi="Times New Roman" w:cs="Times New Roman"/>
        </w:rPr>
      </w:pPr>
      <w:r w:rsidRPr="00FF33D6">
        <w:rPr>
          <w:rStyle w:val="FootnoteReference"/>
          <w:rFonts w:ascii="Times New Roman" w:hAnsi="Times New Roman" w:cs="Times New Roman"/>
        </w:rPr>
        <w:footnoteRef/>
      </w:r>
      <w:r w:rsidRPr="00FF33D6">
        <w:rPr>
          <w:rFonts w:ascii="Times New Roman" w:hAnsi="Times New Roman" w:cs="Times New Roman"/>
        </w:rPr>
        <w:t xml:space="preserve"> </w:t>
      </w:r>
      <w:r w:rsidRPr="00FF33D6">
        <w:rPr>
          <w:rFonts w:ascii="Times New Roman" w:hAnsi="Times New Roman" w:cs="Times New Roman"/>
          <w:i/>
        </w:rPr>
        <w:t>Id.</w:t>
      </w:r>
    </w:p>
  </w:footnote>
  <w:footnote w:id="17">
    <w:p w14:paraId="6A6CB23F" w14:textId="77777777" w:rsidR="00690860" w:rsidRPr="00FF33D6" w:rsidRDefault="00690860" w:rsidP="00690860">
      <w:pPr>
        <w:pStyle w:val="FootnoteText"/>
        <w:rPr>
          <w:rFonts w:ascii="Times New Roman" w:hAnsi="Times New Roman" w:cs="Times New Roman"/>
        </w:rPr>
      </w:pPr>
      <w:r w:rsidRPr="00FF33D6">
        <w:rPr>
          <w:rStyle w:val="FootnoteReference"/>
          <w:rFonts w:ascii="Times New Roman" w:hAnsi="Times New Roman" w:cs="Times New Roman"/>
        </w:rPr>
        <w:footnoteRef/>
      </w:r>
      <w:r w:rsidRPr="00FF33D6">
        <w:rPr>
          <w:rFonts w:ascii="Times New Roman" w:hAnsi="Times New Roman" w:cs="Times New Roman"/>
        </w:rPr>
        <w:t xml:space="preserve"> </w:t>
      </w:r>
      <w:r w:rsidRPr="00FF33D6">
        <w:rPr>
          <w:rFonts w:ascii="Times New Roman" w:hAnsi="Times New Roman" w:cs="Times New Roman"/>
          <w:i/>
        </w:rPr>
        <w:t>Id.</w:t>
      </w:r>
      <w:r w:rsidRPr="00FF33D6">
        <w:rPr>
          <w:rFonts w:ascii="Times New Roman" w:hAnsi="Times New Roman" w:cs="Times New Roman"/>
        </w:rPr>
        <w:t xml:space="preserve"> at *12.</w:t>
      </w:r>
    </w:p>
  </w:footnote>
  <w:footnote w:id="18">
    <w:p w14:paraId="26C48EA5" w14:textId="77777777" w:rsidR="00A24FE4" w:rsidRPr="008C2DFA" w:rsidRDefault="00A24FE4" w:rsidP="00A24FE4">
      <w:pPr>
        <w:pStyle w:val="FootnoteText"/>
        <w:rPr>
          <w:rFonts w:ascii="Times New Roman" w:hAnsi="Times New Roman"/>
        </w:rPr>
      </w:pPr>
      <w:r w:rsidRPr="008C2DFA">
        <w:rPr>
          <w:rStyle w:val="FootnoteReference"/>
          <w:rFonts w:ascii="Times New Roman" w:hAnsi="Times New Roman"/>
        </w:rPr>
        <w:footnoteRef/>
      </w:r>
      <w:r w:rsidRPr="008C2DFA">
        <w:rPr>
          <w:rFonts w:ascii="Times New Roman" w:hAnsi="Times New Roman"/>
        </w:rPr>
        <w:t xml:space="preserve"> </w:t>
      </w:r>
      <w:r w:rsidRPr="008C2DFA">
        <w:rPr>
          <w:rFonts w:ascii="Times New Roman" w:hAnsi="Times New Roman"/>
          <w:color w:val="212121"/>
        </w:rPr>
        <w:t>L.1971, c. 198, § 19, eff. July 1, 1971.</w:t>
      </w:r>
    </w:p>
  </w:footnote>
  <w:footnote w:id="19">
    <w:p w14:paraId="5DA127FB" w14:textId="77777777" w:rsidR="00A24FE4" w:rsidRPr="008C2DFA" w:rsidRDefault="00A24FE4" w:rsidP="00A24FE4">
      <w:pPr>
        <w:pStyle w:val="FootnoteText"/>
        <w:rPr>
          <w:rFonts w:ascii="Times New Roman" w:hAnsi="Times New Roman"/>
        </w:rPr>
      </w:pPr>
      <w:r w:rsidRPr="008C2DFA">
        <w:rPr>
          <w:rStyle w:val="FootnoteReference"/>
          <w:rFonts w:ascii="Times New Roman" w:hAnsi="Times New Roman"/>
        </w:rPr>
        <w:footnoteRef/>
      </w:r>
      <w:r w:rsidRPr="008C2DFA">
        <w:rPr>
          <w:rFonts w:ascii="Times New Roman" w:hAnsi="Times New Roman"/>
        </w:rPr>
        <w:t xml:space="preserve"> </w:t>
      </w:r>
      <w:r w:rsidRPr="008C2DFA">
        <w:rPr>
          <w:rFonts w:ascii="Times New Roman" w:hAnsi="Times New Roman"/>
          <w:color w:val="212121"/>
        </w:rPr>
        <w:t xml:space="preserve">NJ </w:t>
      </w:r>
      <w:proofErr w:type="spellStart"/>
      <w:r w:rsidRPr="008C2DFA">
        <w:rPr>
          <w:rFonts w:ascii="Times New Roman" w:hAnsi="Times New Roman"/>
          <w:color w:val="212121"/>
        </w:rPr>
        <w:t>Assem</w:t>
      </w:r>
      <w:proofErr w:type="spellEnd"/>
      <w:r w:rsidRPr="008C2DFA">
        <w:rPr>
          <w:rFonts w:ascii="Times New Roman" w:hAnsi="Times New Roman"/>
          <w:color w:val="212121"/>
        </w:rPr>
        <w:t>. Comm. State., A.B. 2913, 1/18/2001</w:t>
      </w:r>
    </w:p>
  </w:footnote>
  <w:footnote w:id="20">
    <w:p w14:paraId="0A87B26F" w14:textId="77777777" w:rsidR="00A24FE4" w:rsidRPr="008C2DFA" w:rsidRDefault="00A24FE4" w:rsidP="00A24FE4">
      <w:pPr>
        <w:pStyle w:val="FootnoteText"/>
        <w:rPr>
          <w:rFonts w:ascii="Times New Roman" w:hAnsi="Times New Roman"/>
        </w:rPr>
      </w:pPr>
      <w:r w:rsidRPr="008C2DFA">
        <w:rPr>
          <w:rStyle w:val="FootnoteReference"/>
          <w:rFonts w:ascii="Times New Roman" w:hAnsi="Times New Roman"/>
        </w:rPr>
        <w:footnoteRef/>
      </w:r>
      <w:r w:rsidRPr="008C2DFA">
        <w:rPr>
          <w:rFonts w:ascii="Times New Roman" w:hAnsi="Times New Roman"/>
        </w:rPr>
        <w:t xml:space="preserve"> </w:t>
      </w:r>
      <w:r w:rsidRPr="008C2DFA">
        <w:rPr>
          <w:rFonts w:ascii="Times New Roman" w:hAnsi="Times New Roman"/>
          <w:i/>
        </w:rPr>
        <w:t>Id.</w:t>
      </w:r>
    </w:p>
  </w:footnote>
  <w:footnote w:id="21">
    <w:p w14:paraId="1DB2B801" w14:textId="77777777" w:rsidR="00A24FE4" w:rsidRPr="008C2DFA" w:rsidRDefault="00A24FE4" w:rsidP="00A24FE4">
      <w:pPr>
        <w:pStyle w:val="FootnoteText"/>
        <w:rPr>
          <w:rFonts w:ascii="Times New Roman" w:hAnsi="Times New Roman"/>
        </w:rPr>
      </w:pPr>
      <w:r w:rsidRPr="008C2DFA">
        <w:rPr>
          <w:rStyle w:val="FootnoteReference"/>
          <w:rFonts w:ascii="Times New Roman" w:hAnsi="Times New Roman"/>
        </w:rPr>
        <w:footnoteRef/>
      </w:r>
      <w:r w:rsidRPr="008C2DFA">
        <w:rPr>
          <w:rFonts w:ascii="Times New Roman" w:hAnsi="Times New Roman"/>
        </w:rPr>
        <w:t xml:space="preserve"> </w:t>
      </w:r>
      <w:r w:rsidRPr="008C2DFA">
        <w:rPr>
          <w:rFonts w:ascii="Times New Roman" w:hAnsi="Times New Roman"/>
          <w:color w:val="212121"/>
        </w:rPr>
        <w:t>NJ S. Comm. State., A.B. 2913, 6/14/2001</w:t>
      </w:r>
    </w:p>
  </w:footnote>
  <w:footnote w:id="22">
    <w:p w14:paraId="6C49BB47" w14:textId="77777777" w:rsidR="00A24FE4" w:rsidRPr="008C2DFA" w:rsidRDefault="00A24FE4" w:rsidP="00A24FE4">
      <w:pPr>
        <w:pStyle w:val="FootnoteText"/>
        <w:rPr>
          <w:rFonts w:ascii="Times New Roman" w:hAnsi="Times New Roman"/>
        </w:rPr>
      </w:pPr>
      <w:r w:rsidRPr="008C2DFA">
        <w:rPr>
          <w:rStyle w:val="FootnoteReference"/>
          <w:rFonts w:ascii="Times New Roman" w:hAnsi="Times New Roman"/>
        </w:rPr>
        <w:footnoteRef/>
      </w:r>
      <w:r w:rsidRPr="008C2DFA">
        <w:rPr>
          <w:rFonts w:ascii="Times New Roman" w:hAnsi="Times New Roman"/>
        </w:rPr>
        <w:t xml:space="preserve"> NJ </w:t>
      </w:r>
      <w:proofErr w:type="spellStart"/>
      <w:r w:rsidRPr="008C2DFA">
        <w:rPr>
          <w:rFonts w:ascii="Times New Roman" w:hAnsi="Times New Roman"/>
        </w:rPr>
        <w:t>Assem</w:t>
      </w:r>
      <w:proofErr w:type="spellEnd"/>
      <w:r w:rsidRPr="008C2DFA">
        <w:rPr>
          <w:rFonts w:ascii="Times New Roman" w:hAnsi="Times New Roman"/>
        </w:rPr>
        <w:t>. Floor State., A.B. 3519, 12/9/1999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6012F3"/>
    <w:multiLevelType w:val="hybridMultilevel"/>
    <w:tmpl w:val="A3F2FF1E"/>
    <w:lvl w:ilvl="0" w:tplc="221265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860"/>
    <w:rsid w:val="00080EAD"/>
    <w:rsid w:val="000C0ADD"/>
    <w:rsid w:val="000E2039"/>
    <w:rsid w:val="00120D58"/>
    <w:rsid w:val="00125B6B"/>
    <w:rsid w:val="00182E62"/>
    <w:rsid w:val="001A4D47"/>
    <w:rsid w:val="00287CCB"/>
    <w:rsid w:val="003030E6"/>
    <w:rsid w:val="0034198A"/>
    <w:rsid w:val="00350439"/>
    <w:rsid w:val="004467E6"/>
    <w:rsid w:val="004D27B9"/>
    <w:rsid w:val="00511201"/>
    <w:rsid w:val="00514095"/>
    <w:rsid w:val="00525415"/>
    <w:rsid w:val="00593808"/>
    <w:rsid w:val="005A4633"/>
    <w:rsid w:val="005A6F19"/>
    <w:rsid w:val="005C061A"/>
    <w:rsid w:val="005C7006"/>
    <w:rsid w:val="006042F7"/>
    <w:rsid w:val="006078A4"/>
    <w:rsid w:val="00634139"/>
    <w:rsid w:val="0066041C"/>
    <w:rsid w:val="006774D4"/>
    <w:rsid w:val="00690860"/>
    <w:rsid w:val="007064A6"/>
    <w:rsid w:val="007543CF"/>
    <w:rsid w:val="00783618"/>
    <w:rsid w:val="008B6360"/>
    <w:rsid w:val="008C1ADC"/>
    <w:rsid w:val="008E73B1"/>
    <w:rsid w:val="009237CB"/>
    <w:rsid w:val="00A24FE4"/>
    <w:rsid w:val="00A41D9E"/>
    <w:rsid w:val="00A4237A"/>
    <w:rsid w:val="00A95F7D"/>
    <w:rsid w:val="00B05676"/>
    <w:rsid w:val="00B51A02"/>
    <w:rsid w:val="00BC51D9"/>
    <w:rsid w:val="00BD6EE8"/>
    <w:rsid w:val="00BE47F3"/>
    <w:rsid w:val="00BF15EE"/>
    <w:rsid w:val="00C051CD"/>
    <w:rsid w:val="00C31431"/>
    <w:rsid w:val="00D1120D"/>
    <w:rsid w:val="00D210DC"/>
    <w:rsid w:val="00D41208"/>
    <w:rsid w:val="00DB0268"/>
    <w:rsid w:val="00DE017C"/>
    <w:rsid w:val="00DE7578"/>
    <w:rsid w:val="00E1327A"/>
    <w:rsid w:val="00E36CE5"/>
    <w:rsid w:val="00E45E98"/>
    <w:rsid w:val="00E54AD3"/>
    <w:rsid w:val="00E8240C"/>
    <w:rsid w:val="00E9559F"/>
    <w:rsid w:val="00F16EC5"/>
    <w:rsid w:val="00F3388E"/>
    <w:rsid w:val="00F341F0"/>
    <w:rsid w:val="00F93F48"/>
    <w:rsid w:val="00F94899"/>
    <w:rsid w:val="00FF33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E4DC4A7"/>
  <w15:chartTrackingRefBased/>
  <w15:docId w15:val="{450EC699-5EC1-43EF-9A7C-4867C2301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08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908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0860"/>
    <w:rPr>
      <w:sz w:val="20"/>
      <w:szCs w:val="20"/>
    </w:rPr>
  </w:style>
  <w:style w:type="character" w:styleId="FootnoteReference">
    <w:name w:val="footnote reference"/>
    <w:basedOn w:val="DefaultParagraphFont"/>
    <w:uiPriority w:val="99"/>
    <w:semiHidden/>
    <w:unhideWhenUsed/>
    <w:rsid w:val="00690860"/>
    <w:rPr>
      <w:vertAlign w:val="superscript"/>
    </w:rPr>
  </w:style>
  <w:style w:type="character" w:styleId="Hyperlink">
    <w:name w:val="Hyperlink"/>
    <w:basedOn w:val="DefaultParagraphFont"/>
    <w:uiPriority w:val="99"/>
    <w:unhideWhenUsed/>
    <w:rsid w:val="00690860"/>
    <w:rPr>
      <w:color w:val="0563C1" w:themeColor="hyperlink"/>
      <w:u w:val="single"/>
    </w:rPr>
  </w:style>
  <w:style w:type="paragraph" w:styleId="BalloonText">
    <w:name w:val="Balloon Text"/>
    <w:basedOn w:val="Normal"/>
    <w:link w:val="BalloonTextChar"/>
    <w:uiPriority w:val="99"/>
    <w:semiHidden/>
    <w:unhideWhenUsed/>
    <w:rsid w:val="006908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0860"/>
    <w:rPr>
      <w:rFonts w:ascii="Segoe UI" w:hAnsi="Segoe UI" w:cs="Segoe UI"/>
      <w:sz w:val="18"/>
      <w:szCs w:val="18"/>
    </w:rPr>
  </w:style>
  <w:style w:type="paragraph" w:styleId="ListParagraph">
    <w:name w:val="List Paragraph"/>
    <w:basedOn w:val="Normal"/>
    <w:uiPriority w:val="34"/>
    <w:qFormat/>
    <w:rsid w:val="00A24FE4"/>
    <w:pPr>
      <w:spacing w:after="0" w:line="240" w:lineRule="auto"/>
      <w:ind w:left="720"/>
      <w:contextualSpacing/>
    </w:pPr>
    <w:rPr>
      <w:rFonts w:ascii="Calibri" w:hAnsi="Calibri" w:cs="Times New Roman"/>
    </w:rPr>
  </w:style>
  <w:style w:type="paragraph" w:styleId="Header">
    <w:name w:val="header"/>
    <w:basedOn w:val="Normal"/>
    <w:link w:val="HeaderChar"/>
    <w:uiPriority w:val="99"/>
    <w:unhideWhenUsed/>
    <w:rsid w:val="008B63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6360"/>
  </w:style>
  <w:style w:type="paragraph" w:styleId="Footer">
    <w:name w:val="footer"/>
    <w:basedOn w:val="Normal"/>
    <w:link w:val="FooterChar"/>
    <w:uiPriority w:val="99"/>
    <w:unhideWhenUsed/>
    <w:rsid w:val="008B63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63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3520372">
      <w:bodyDiv w:val="1"/>
      <w:marLeft w:val="0"/>
      <w:marRight w:val="0"/>
      <w:marTop w:val="0"/>
      <w:marBottom w:val="0"/>
      <w:divBdr>
        <w:top w:val="none" w:sz="0" w:space="0" w:color="auto"/>
        <w:left w:val="none" w:sz="0" w:space="0" w:color="auto"/>
        <w:bottom w:val="none" w:sz="0" w:space="0" w:color="auto"/>
        <w:right w:val="none" w:sz="0" w:space="0" w:color="auto"/>
      </w:divBdr>
      <w:divsChild>
        <w:div w:id="1347832457">
          <w:marLeft w:val="0"/>
          <w:marRight w:val="0"/>
          <w:marTop w:val="0"/>
          <w:marBottom w:val="0"/>
          <w:divBdr>
            <w:top w:val="none" w:sz="0" w:space="0" w:color="auto"/>
            <w:left w:val="none" w:sz="0" w:space="0" w:color="auto"/>
            <w:bottom w:val="none" w:sz="0" w:space="0" w:color="auto"/>
            <w:right w:val="none" w:sz="0" w:space="0" w:color="auto"/>
          </w:divBdr>
        </w:div>
        <w:div w:id="271132826">
          <w:marLeft w:val="0"/>
          <w:marRight w:val="0"/>
          <w:marTop w:val="0"/>
          <w:marBottom w:val="0"/>
          <w:divBdr>
            <w:top w:val="none" w:sz="0" w:space="0" w:color="auto"/>
            <w:left w:val="none" w:sz="0" w:space="0" w:color="auto"/>
            <w:bottom w:val="none" w:sz="0" w:space="0" w:color="auto"/>
            <w:right w:val="none" w:sz="0" w:space="0" w:color="auto"/>
          </w:divBdr>
        </w:div>
      </w:divsChild>
    </w:div>
    <w:div w:id="1757704606">
      <w:bodyDiv w:val="1"/>
      <w:marLeft w:val="0"/>
      <w:marRight w:val="0"/>
      <w:marTop w:val="0"/>
      <w:marBottom w:val="0"/>
      <w:divBdr>
        <w:top w:val="none" w:sz="0" w:space="0" w:color="auto"/>
        <w:left w:val="none" w:sz="0" w:space="0" w:color="auto"/>
        <w:bottom w:val="none" w:sz="0" w:space="0" w:color="auto"/>
        <w:right w:val="none" w:sz="0" w:space="0" w:color="auto"/>
      </w:divBdr>
      <w:divsChild>
        <w:div w:id="1746952713">
          <w:marLeft w:val="0"/>
          <w:marRight w:val="0"/>
          <w:marTop w:val="0"/>
          <w:marBottom w:val="0"/>
          <w:divBdr>
            <w:top w:val="none" w:sz="0" w:space="0" w:color="auto"/>
            <w:left w:val="none" w:sz="0" w:space="0" w:color="auto"/>
            <w:bottom w:val="none" w:sz="0" w:space="0" w:color="auto"/>
            <w:right w:val="none" w:sz="0" w:space="0" w:color="auto"/>
          </w:divBdr>
          <w:divsChild>
            <w:div w:id="488520484">
              <w:marLeft w:val="0"/>
              <w:marRight w:val="0"/>
              <w:marTop w:val="240"/>
              <w:marBottom w:val="0"/>
              <w:divBdr>
                <w:top w:val="none" w:sz="0" w:space="0" w:color="auto"/>
                <w:left w:val="none" w:sz="0" w:space="0" w:color="auto"/>
                <w:bottom w:val="none" w:sz="0" w:space="0" w:color="auto"/>
                <w:right w:val="none" w:sz="0" w:space="0" w:color="auto"/>
              </w:divBdr>
            </w:div>
          </w:divsChild>
        </w:div>
        <w:div w:id="328287731">
          <w:marLeft w:val="0"/>
          <w:marRight w:val="0"/>
          <w:marTop w:val="0"/>
          <w:marBottom w:val="0"/>
          <w:divBdr>
            <w:top w:val="none" w:sz="0" w:space="0" w:color="auto"/>
            <w:left w:val="none" w:sz="0" w:space="0" w:color="auto"/>
            <w:bottom w:val="none" w:sz="0" w:space="0" w:color="auto"/>
            <w:right w:val="none" w:sz="0" w:space="0" w:color="auto"/>
          </w:divBdr>
        </w:div>
        <w:div w:id="1959143840">
          <w:marLeft w:val="0"/>
          <w:marRight w:val="0"/>
          <w:marTop w:val="240"/>
          <w:marBottom w:val="0"/>
          <w:divBdr>
            <w:top w:val="none" w:sz="0" w:space="0" w:color="auto"/>
            <w:left w:val="none" w:sz="0" w:space="0" w:color="auto"/>
            <w:bottom w:val="none" w:sz="0" w:space="0" w:color="auto"/>
            <w:right w:val="none" w:sz="0" w:space="0" w:color="auto"/>
          </w:divBdr>
          <w:divsChild>
            <w:div w:id="1411925026">
              <w:marLeft w:val="0"/>
              <w:marRight w:val="0"/>
              <w:marTop w:val="0"/>
              <w:marBottom w:val="0"/>
              <w:divBdr>
                <w:top w:val="none" w:sz="0" w:space="0" w:color="auto"/>
                <w:left w:val="none" w:sz="0" w:space="0" w:color="auto"/>
                <w:bottom w:val="none" w:sz="0" w:space="0" w:color="auto"/>
                <w:right w:val="none" w:sz="0" w:space="0" w:color="auto"/>
              </w:divBdr>
              <w:divsChild>
                <w:div w:id="540216947">
                  <w:marLeft w:val="0"/>
                  <w:marRight w:val="0"/>
                  <w:marTop w:val="0"/>
                  <w:marBottom w:val="0"/>
                  <w:divBdr>
                    <w:top w:val="none" w:sz="0" w:space="0" w:color="auto"/>
                    <w:left w:val="none" w:sz="0" w:space="0" w:color="auto"/>
                    <w:bottom w:val="none" w:sz="0" w:space="0" w:color="auto"/>
                    <w:right w:val="none" w:sz="0" w:space="0" w:color="auto"/>
                  </w:divBdr>
                  <w:divsChild>
                    <w:div w:id="41401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620286">
              <w:marLeft w:val="0"/>
              <w:marRight w:val="0"/>
              <w:marTop w:val="0"/>
              <w:marBottom w:val="0"/>
              <w:divBdr>
                <w:top w:val="none" w:sz="0" w:space="0" w:color="auto"/>
                <w:left w:val="none" w:sz="0" w:space="0" w:color="auto"/>
                <w:bottom w:val="none" w:sz="0" w:space="0" w:color="auto"/>
                <w:right w:val="none" w:sz="0" w:space="0" w:color="auto"/>
              </w:divBdr>
            </w:div>
            <w:div w:id="721833926">
              <w:marLeft w:val="0"/>
              <w:marRight w:val="0"/>
              <w:marTop w:val="0"/>
              <w:marBottom w:val="0"/>
              <w:divBdr>
                <w:top w:val="none" w:sz="0" w:space="0" w:color="auto"/>
                <w:left w:val="none" w:sz="0" w:space="0" w:color="auto"/>
                <w:bottom w:val="none" w:sz="0" w:space="0" w:color="auto"/>
                <w:right w:val="none" w:sz="0" w:space="0" w:color="auto"/>
              </w:divBdr>
              <w:divsChild>
                <w:div w:id="111398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F04535-12CA-4016-82CB-A82811704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2467</Words>
  <Characters>14161</Characters>
  <Application>Microsoft Office Word</Application>
  <DocSecurity>0</DocSecurity>
  <Lines>277</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Office-1 365</dc:creator>
  <cp:keywords/>
  <dc:description/>
  <cp:lastModifiedBy>L Tharney</cp:lastModifiedBy>
  <cp:revision>3</cp:revision>
  <dcterms:created xsi:type="dcterms:W3CDTF">2019-06-10T16:56:00Z</dcterms:created>
  <dcterms:modified xsi:type="dcterms:W3CDTF">2019-06-10T17:00:00Z</dcterms:modified>
</cp:coreProperties>
</file>