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2F" w:rsidRPr="00EF43DF" w:rsidRDefault="0034132F" w:rsidP="0034132F">
      <w:pPr>
        <w:ind w:firstLine="0"/>
        <w:rPr>
          <w:b/>
          <w:bCs/>
          <w:lang w:bidi="en-US"/>
        </w:rPr>
      </w:pPr>
      <w:bookmarkStart w:id="0" w:name="_GoBack"/>
      <w:bookmarkEnd w:id="0"/>
      <w:r w:rsidRPr="00EF43DF">
        <w:rPr>
          <w:b/>
          <w:bCs/>
          <w:lang w:bidi="en-US"/>
        </w:rPr>
        <w:t>To:</w:t>
      </w:r>
      <w:r w:rsidRPr="00EF43DF">
        <w:rPr>
          <w:b/>
          <w:bCs/>
          <w:lang w:bidi="en-US"/>
        </w:rPr>
        <w:tab/>
        <w:t xml:space="preserve"> </w:t>
      </w:r>
      <w:r>
        <w:rPr>
          <w:b/>
          <w:bCs/>
          <w:lang w:bidi="en-US"/>
        </w:rPr>
        <w:t>New Jersey Law Revision Commission</w:t>
      </w:r>
    </w:p>
    <w:p w:rsidR="0034132F" w:rsidRPr="00EF43DF" w:rsidRDefault="0034132F" w:rsidP="0034132F">
      <w:pPr>
        <w:ind w:firstLine="0"/>
        <w:rPr>
          <w:b/>
          <w:bCs/>
          <w:lang w:bidi="en-US"/>
        </w:rPr>
      </w:pPr>
      <w:r w:rsidRPr="00EF43DF">
        <w:rPr>
          <w:b/>
          <w:bCs/>
          <w:lang w:bidi="en-US"/>
        </w:rPr>
        <w:t xml:space="preserve">From: </w:t>
      </w:r>
      <w:r w:rsidRPr="00EF43DF">
        <w:rPr>
          <w:b/>
          <w:bCs/>
          <w:lang w:bidi="en-US"/>
        </w:rPr>
        <w:tab/>
        <w:t xml:space="preserve"> </w:t>
      </w:r>
      <w:r>
        <w:rPr>
          <w:b/>
          <w:bCs/>
          <w:lang w:bidi="en-US"/>
        </w:rPr>
        <w:t xml:space="preserve">Dominic </w:t>
      </w:r>
      <w:proofErr w:type="spellStart"/>
      <w:r>
        <w:rPr>
          <w:b/>
          <w:bCs/>
          <w:lang w:bidi="en-US"/>
        </w:rPr>
        <w:t>DiLeo</w:t>
      </w:r>
      <w:proofErr w:type="spellEnd"/>
    </w:p>
    <w:p w:rsidR="0034132F" w:rsidRPr="00EF43DF" w:rsidRDefault="0034132F" w:rsidP="0034132F">
      <w:pPr>
        <w:ind w:firstLine="0"/>
        <w:rPr>
          <w:b/>
          <w:bCs/>
          <w:lang w:bidi="en-US"/>
        </w:rPr>
      </w:pPr>
      <w:r w:rsidRPr="00EF43DF">
        <w:rPr>
          <w:b/>
          <w:bCs/>
          <w:lang w:bidi="en-US"/>
        </w:rPr>
        <w:t xml:space="preserve">Re: </w:t>
      </w:r>
      <w:r w:rsidRPr="00EF43DF">
        <w:rPr>
          <w:b/>
          <w:bCs/>
          <w:lang w:bidi="en-US"/>
        </w:rPr>
        <w:tab/>
      </w:r>
      <w:r w:rsidR="00FD6F75">
        <w:rPr>
          <w:b/>
          <w:bCs/>
          <w:lang w:bidi="en-US"/>
        </w:rPr>
        <w:t xml:space="preserve"> </w:t>
      </w:r>
      <w:proofErr w:type="spellStart"/>
      <w:r w:rsidR="00257DB0">
        <w:rPr>
          <w:b/>
          <w:bCs/>
          <w:lang w:bidi="en-US"/>
        </w:rPr>
        <w:t>Ptaszynski</w:t>
      </w:r>
      <w:proofErr w:type="spellEnd"/>
      <w:r w:rsidR="00257DB0">
        <w:rPr>
          <w:b/>
          <w:bCs/>
          <w:lang w:bidi="en-US"/>
        </w:rPr>
        <w:t xml:space="preserve"> v. Atlantic Health Systems, Inc.</w:t>
      </w:r>
    </w:p>
    <w:p w:rsidR="0034132F" w:rsidRPr="00EF43DF" w:rsidRDefault="0034132F" w:rsidP="0034132F">
      <w:pPr>
        <w:ind w:firstLine="0"/>
        <w:rPr>
          <w:b/>
          <w:bCs/>
          <w:lang w:bidi="en-US"/>
        </w:rPr>
      </w:pPr>
      <w:r w:rsidRPr="00EF43DF">
        <w:rPr>
          <w:b/>
          <w:bCs/>
          <w:lang w:bidi="en-US"/>
        </w:rPr>
        <w:t xml:space="preserve">Date: </w:t>
      </w:r>
      <w:r w:rsidRPr="00EF43DF">
        <w:rPr>
          <w:b/>
          <w:bCs/>
          <w:lang w:bidi="en-US"/>
        </w:rPr>
        <w:tab/>
      </w:r>
      <w:r w:rsidR="00FD6F75">
        <w:rPr>
          <w:b/>
          <w:bCs/>
          <w:lang w:bidi="en-US"/>
        </w:rPr>
        <w:t xml:space="preserve"> </w:t>
      </w:r>
      <w:r w:rsidR="00836CA1">
        <w:rPr>
          <w:b/>
          <w:bCs/>
          <w:lang w:bidi="en-US"/>
        </w:rPr>
        <w:t>July 2, 2015</w:t>
      </w:r>
    </w:p>
    <w:p w:rsidR="0034132F" w:rsidRPr="00EF43DF" w:rsidRDefault="0034132F" w:rsidP="0034132F">
      <w:pPr>
        <w:ind w:firstLine="0"/>
        <w:rPr>
          <w:b/>
          <w:bCs/>
          <w:lang w:bidi="en-US"/>
        </w:rPr>
      </w:pPr>
    </w:p>
    <w:p w:rsidR="0034132F" w:rsidRPr="00757349" w:rsidRDefault="0034132F" w:rsidP="00757349">
      <w:pPr>
        <w:pBdr>
          <w:bottom w:val="single" w:sz="4" w:space="1" w:color="auto"/>
        </w:pBdr>
        <w:ind w:firstLine="0"/>
        <w:jc w:val="center"/>
        <w:rPr>
          <w:b/>
          <w:bCs/>
          <w:lang w:bidi="en-US"/>
        </w:rPr>
      </w:pPr>
      <w:r w:rsidRPr="00EF43DF">
        <w:rPr>
          <w:b/>
          <w:bCs/>
          <w:lang w:bidi="en-US"/>
        </w:rPr>
        <w:t>M E M O R A N D U M</w:t>
      </w:r>
    </w:p>
    <w:p w:rsidR="005E28B6" w:rsidRDefault="005E28B6" w:rsidP="0034132F"/>
    <w:p w:rsidR="0002320E" w:rsidRDefault="00757349" w:rsidP="008B7FA0">
      <w:pPr>
        <w:spacing w:line="276" w:lineRule="auto"/>
      </w:pPr>
      <w:r>
        <w:t>This potential project arises out of a recent Appellate Decision interpreting</w:t>
      </w:r>
      <w:r w:rsidR="005D7BB6">
        <w:t xml:space="preserve"> a provision of the Nursing Home Responsibilities and Residents’ Rights Act</w:t>
      </w:r>
      <w:r w:rsidR="006C23F8">
        <w:t xml:space="preserve"> (“NHA”)</w:t>
      </w:r>
      <w:r w:rsidR="005D7BB6">
        <w:t>.</w:t>
      </w:r>
      <w:r w:rsidR="005D7BB6">
        <w:rPr>
          <w:rStyle w:val="FootnoteReference"/>
        </w:rPr>
        <w:footnoteReference w:id="1"/>
      </w:r>
      <w:r>
        <w:t xml:space="preserve"> </w:t>
      </w:r>
      <w:r w:rsidR="006C23F8">
        <w:t xml:space="preserve">The </w:t>
      </w:r>
      <w:r w:rsidR="00A61035">
        <w:t xml:space="preserve">statutory </w:t>
      </w:r>
      <w:r w:rsidR="006C23F8">
        <w:t xml:space="preserve">provision, </w:t>
      </w:r>
      <w:r w:rsidRPr="008B7FA0">
        <w:t>N.J.S.</w:t>
      </w:r>
      <w:r>
        <w:t xml:space="preserve"> 30:13-4.2, </w:t>
      </w:r>
      <w:r w:rsidR="006C23F8">
        <w:t>defines the causes of action</w:t>
      </w:r>
      <w:r>
        <w:t xml:space="preserve"> </w:t>
      </w:r>
      <w:r w:rsidR="00D2469E">
        <w:t xml:space="preserve">that </w:t>
      </w:r>
      <w:r>
        <w:t xml:space="preserve">private parties and the </w:t>
      </w:r>
      <w:r w:rsidR="00B6201D">
        <w:t>Department of Health</w:t>
      </w:r>
      <w:r>
        <w:t xml:space="preserve"> </w:t>
      </w:r>
      <w:r w:rsidR="006C23F8">
        <w:t xml:space="preserve">(“DOH”) </w:t>
      </w:r>
      <w:r>
        <w:t xml:space="preserve">can maintain </w:t>
      </w:r>
      <w:r w:rsidR="006C23F8">
        <w:t xml:space="preserve">upon </w:t>
      </w:r>
      <w:r w:rsidR="00CB1C07">
        <w:t xml:space="preserve">a particular </w:t>
      </w:r>
      <w:r w:rsidR="006C23F8">
        <w:t>violation</w:t>
      </w:r>
      <w:r>
        <w:t>.</w:t>
      </w:r>
      <w:r w:rsidR="00CB1C07">
        <w:t xml:space="preserve"> </w:t>
      </w:r>
      <w:r w:rsidR="00D262AB">
        <w:t>This project would aim to clarify the statute</w:t>
      </w:r>
      <w:r w:rsidR="00774FA0">
        <w:t xml:space="preserve"> in ligh</w:t>
      </w:r>
      <w:r w:rsidR="00B6201D">
        <w:t xml:space="preserve">t of the decision regarding the </w:t>
      </w:r>
      <w:r w:rsidR="006C23F8">
        <w:t xml:space="preserve">scope of </w:t>
      </w:r>
      <w:r w:rsidR="00B6201D">
        <w:t>applicability</w:t>
      </w:r>
      <w:r w:rsidR="00257DB0">
        <w:t xml:space="preserve"> of private parties to bring an action under </w:t>
      </w:r>
      <w:r w:rsidR="008B7FA0">
        <w:t>N.J.S.</w:t>
      </w:r>
      <w:r w:rsidR="00257DB0">
        <w:t xml:space="preserve"> 30:13-4.2. </w:t>
      </w:r>
    </w:p>
    <w:p w:rsidR="008B7FA0" w:rsidRDefault="008B7FA0" w:rsidP="008B7FA0">
      <w:pPr>
        <w:spacing w:line="276" w:lineRule="auto"/>
      </w:pPr>
    </w:p>
    <w:p w:rsidR="008B7FA0" w:rsidRPr="008B7FA0" w:rsidRDefault="008B7FA0" w:rsidP="008B7FA0">
      <w:pPr>
        <w:spacing w:line="276" w:lineRule="auto"/>
        <w:ind w:firstLine="0"/>
        <w:jc w:val="center"/>
        <w:rPr>
          <w:b/>
        </w:rPr>
      </w:pPr>
      <w:r>
        <w:rPr>
          <w:b/>
        </w:rPr>
        <w:t>Background</w:t>
      </w:r>
    </w:p>
    <w:p w:rsidR="00A61035" w:rsidRDefault="00A61035" w:rsidP="008B7FA0">
      <w:pPr>
        <w:spacing w:line="276" w:lineRule="auto"/>
      </w:pPr>
    </w:p>
    <w:p w:rsidR="00A61035" w:rsidRDefault="00A61035" w:rsidP="008B7FA0">
      <w:pPr>
        <w:spacing w:line="276" w:lineRule="auto"/>
      </w:pPr>
      <w:r>
        <w:t xml:space="preserve">The relevant portion of </w:t>
      </w:r>
      <w:r w:rsidRPr="008B7FA0">
        <w:t>N.J.S.</w:t>
      </w:r>
      <w:r>
        <w:t xml:space="preserve"> 30:13-4.2 states: “A person shall have a cause of action against the nursing home for any violation of </w:t>
      </w:r>
      <w:r w:rsidRPr="00C17A74">
        <w:rPr>
          <w:i/>
        </w:rPr>
        <w:t>this act</w:t>
      </w:r>
      <w:r>
        <w:t xml:space="preserve">. The Department of Health may maintain an action in the name of the State to enforce the provisions of </w:t>
      </w:r>
      <w:r w:rsidRPr="00C17A74">
        <w:rPr>
          <w:i/>
        </w:rPr>
        <w:t>this act</w:t>
      </w:r>
      <w:r>
        <w:rPr>
          <w:rStyle w:val="FootnoteReference"/>
        </w:rPr>
        <w:footnoteReference w:id="2"/>
      </w:r>
      <w:r>
        <w:t xml:space="preserve"> and any rules and regulations promulgated pursuant to </w:t>
      </w:r>
      <w:r w:rsidRPr="005D7BB6">
        <w:rPr>
          <w:i/>
        </w:rPr>
        <w:t>this act</w:t>
      </w:r>
      <w:r>
        <w:t>” (</w:t>
      </w:r>
      <w:r w:rsidRPr="00C17A74">
        <w:rPr>
          <w:i/>
        </w:rPr>
        <w:t>emphasis added</w:t>
      </w:r>
      <w:r>
        <w:t>).</w:t>
      </w:r>
      <w:r>
        <w:rPr>
          <w:rStyle w:val="FootnoteReference"/>
        </w:rPr>
        <w:footnoteReference w:id="3"/>
      </w:r>
      <w:r>
        <w:t xml:space="preserve"> The footnote in </w:t>
      </w:r>
      <w:r w:rsidRPr="008B7FA0">
        <w:t>N.J.S.</w:t>
      </w:r>
      <w:r w:rsidRPr="00A61035">
        <w:rPr>
          <w:i/>
        </w:rPr>
        <w:t xml:space="preserve"> </w:t>
      </w:r>
      <w:r>
        <w:t xml:space="preserve">30:13-4.2 after the second occurrence of “this act” explicitly restricts the applicability of the statute to state actions through the DOH to only </w:t>
      </w:r>
      <w:r w:rsidRPr="008B7FA0">
        <w:t>N.J.S.</w:t>
      </w:r>
      <w:r>
        <w:t xml:space="preserve"> 30:13-4.1 and </w:t>
      </w:r>
      <w:r w:rsidR="006D0175" w:rsidRPr="008B7FA0">
        <w:t>N.J.S.</w:t>
      </w:r>
      <w:r w:rsidR="006D0175" w:rsidRPr="006D0175">
        <w:rPr>
          <w:i/>
        </w:rPr>
        <w:t xml:space="preserve"> </w:t>
      </w:r>
      <w:r>
        <w:t>30:13-4.2.</w:t>
      </w:r>
      <w:r>
        <w:rPr>
          <w:rStyle w:val="FootnoteReference"/>
        </w:rPr>
        <w:footnoteReference w:id="4"/>
      </w:r>
    </w:p>
    <w:p w:rsidR="00CB1C07" w:rsidRDefault="00CB1C07" w:rsidP="008B7FA0">
      <w:pPr>
        <w:spacing w:line="276" w:lineRule="auto"/>
      </w:pPr>
    </w:p>
    <w:p w:rsidR="00B04299" w:rsidRDefault="00C17A74" w:rsidP="008B7FA0">
      <w:pPr>
        <w:spacing w:line="276" w:lineRule="auto"/>
      </w:pPr>
      <w:r>
        <w:t xml:space="preserve">The ambiguity that </w:t>
      </w:r>
      <w:r w:rsidR="00B04299">
        <w:t xml:space="preserve">arguably </w:t>
      </w:r>
      <w:r>
        <w:t>existed</w:t>
      </w:r>
      <w:r w:rsidR="00BC3618">
        <w:t xml:space="preserve"> </w:t>
      </w:r>
      <w:r w:rsidR="00DF0C7B">
        <w:t xml:space="preserve">in the statute </w:t>
      </w:r>
      <w:r>
        <w:t xml:space="preserve">was </w:t>
      </w:r>
      <w:r w:rsidR="00DF0C7B">
        <w:t xml:space="preserve">the </w:t>
      </w:r>
      <w:r>
        <w:t xml:space="preserve">applicability </w:t>
      </w:r>
      <w:r w:rsidR="00DF0C7B">
        <w:t>of</w:t>
      </w:r>
      <w:r w:rsidR="006C23F8">
        <w:t xml:space="preserve"> the language of</w:t>
      </w:r>
      <w:r w:rsidR="00D3717E">
        <w:t xml:space="preserve"> the first</w:t>
      </w:r>
      <w:r w:rsidR="00DF0C7B">
        <w:t xml:space="preserve"> </w:t>
      </w:r>
      <w:r w:rsidR="00B04299">
        <w:t xml:space="preserve">instance of </w:t>
      </w:r>
      <w:r w:rsidR="00DF0C7B">
        <w:t xml:space="preserve">“this act” </w:t>
      </w:r>
      <w:r w:rsidR="00B04299">
        <w:t>referring to</w:t>
      </w:r>
      <w:r w:rsidR="00D3717E">
        <w:t xml:space="preserve"> private parties </w:t>
      </w:r>
      <w:r w:rsidR="00DF0C7B">
        <w:t xml:space="preserve">in </w:t>
      </w:r>
      <w:r w:rsidR="00DF0C7B" w:rsidRPr="008B7FA0">
        <w:t>N.J.S.</w:t>
      </w:r>
      <w:r w:rsidR="00DF0C7B">
        <w:t xml:space="preserve"> 30:13-4.2, and </w:t>
      </w:r>
      <w:r w:rsidR="00D3717E">
        <w:t>whether this language granted private parties the ability to sue for any violation of the</w:t>
      </w:r>
      <w:r w:rsidR="00DF0C7B">
        <w:t xml:space="preserve"> </w:t>
      </w:r>
      <w:r w:rsidR="00774FA0">
        <w:t>NHA,</w:t>
      </w:r>
      <w:r w:rsidR="00D3717E">
        <w:t xml:space="preserve"> or only for a violation of </w:t>
      </w:r>
      <w:r w:rsidR="00BC3618">
        <w:t xml:space="preserve">the provision directly preceding </w:t>
      </w:r>
      <w:r w:rsidR="00D3717E">
        <w:t>it</w:t>
      </w:r>
      <w:r w:rsidR="00BC3618">
        <w:t xml:space="preserve">, </w:t>
      </w:r>
      <w:r w:rsidR="00DF0C7B" w:rsidRPr="008B7FA0">
        <w:t>N.J.S.</w:t>
      </w:r>
      <w:r w:rsidR="00DF0C7B">
        <w:t xml:space="preserve"> 30:13-4.1. </w:t>
      </w:r>
      <w:r w:rsidRPr="008B7FA0">
        <w:t>N.J.S.</w:t>
      </w:r>
      <w:r>
        <w:t xml:space="preserve"> 30:13-4.1 regu</w:t>
      </w:r>
      <w:r w:rsidR="00A61035">
        <w:t>lates</w:t>
      </w:r>
      <w:r>
        <w:t xml:space="preserve"> the </w:t>
      </w:r>
      <w:r w:rsidR="00A61035">
        <w:t xml:space="preserve">handling and </w:t>
      </w:r>
      <w:r>
        <w:t xml:space="preserve">investment of </w:t>
      </w:r>
      <w:r w:rsidR="00A61035">
        <w:t>nursing home resident’s</w:t>
      </w:r>
      <w:r w:rsidR="00CB1C07">
        <w:t xml:space="preserve"> </w:t>
      </w:r>
      <w:r>
        <w:t>security</w:t>
      </w:r>
      <w:r w:rsidR="00A61035">
        <w:t xml:space="preserve"> deposit</w:t>
      </w:r>
      <w:r>
        <w:t>.</w:t>
      </w:r>
      <w:r w:rsidR="005D7BB6">
        <w:rPr>
          <w:rStyle w:val="FootnoteReference"/>
        </w:rPr>
        <w:footnoteReference w:id="5"/>
      </w:r>
      <w:r>
        <w:t xml:space="preserve"> </w:t>
      </w:r>
    </w:p>
    <w:p w:rsidR="00B04299" w:rsidRDefault="00B04299" w:rsidP="008B7FA0">
      <w:pPr>
        <w:spacing w:line="276" w:lineRule="auto"/>
      </w:pPr>
    </w:p>
    <w:p w:rsidR="00257DB0" w:rsidRDefault="00CB1C07" w:rsidP="008B7FA0">
      <w:pPr>
        <w:spacing w:line="276" w:lineRule="auto"/>
      </w:pPr>
      <w:r>
        <w:t xml:space="preserve">In </w:t>
      </w:r>
      <w:proofErr w:type="spellStart"/>
      <w:r w:rsidRPr="00CB1C07">
        <w:rPr>
          <w:i/>
        </w:rPr>
        <w:t>Ptasysnki</w:t>
      </w:r>
      <w:proofErr w:type="spellEnd"/>
      <w:r w:rsidRPr="00CB1C07">
        <w:rPr>
          <w:i/>
        </w:rPr>
        <w:t xml:space="preserve"> v. Atlantic Health Systems, Inc</w:t>
      </w:r>
      <w:r>
        <w:t xml:space="preserve">., the court found that </w:t>
      </w:r>
      <w:r w:rsidRPr="008B7FA0">
        <w:t>N.J.S.</w:t>
      </w:r>
      <w:r>
        <w:t xml:space="preserve"> 30:13-4.2 only allows private parties to recover from a violation of </w:t>
      </w:r>
      <w:r w:rsidRPr="008B7FA0">
        <w:t>N.J.S.</w:t>
      </w:r>
      <w:r w:rsidR="00B04299">
        <w:t xml:space="preserve"> 30:13-4.1, </w:t>
      </w:r>
      <w:r>
        <w:t>not a violation of any other provision of the NHA</w:t>
      </w:r>
      <w:r w:rsidR="00D3717E">
        <w:t>.</w:t>
      </w:r>
      <w:r>
        <w:rPr>
          <w:rStyle w:val="FootnoteReference"/>
        </w:rPr>
        <w:footnoteReference w:id="6"/>
      </w:r>
      <w:r>
        <w:t xml:space="preserve"> </w:t>
      </w:r>
      <w:r w:rsidRPr="00CB1C07">
        <w:t>Staff is concerned that any reference to “this act”</w:t>
      </w:r>
      <w:r>
        <w:t xml:space="preserve"> in the statute</w:t>
      </w:r>
      <w:r w:rsidRPr="00CB1C07">
        <w:t xml:space="preserve"> that has been deemed by the court</w:t>
      </w:r>
      <w:r>
        <w:t xml:space="preserve"> to refer to something less than the entire act </w:t>
      </w:r>
      <w:r w:rsidR="00A61035">
        <w:t xml:space="preserve">can be characterized as </w:t>
      </w:r>
      <w:r>
        <w:t>unclear on its face.</w:t>
      </w:r>
    </w:p>
    <w:p w:rsidR="00A61035" w:rsidRDefault="00A61035" w:rsidP="008B7FA0">
      <w:pPr>
        <w:spacing w:line="276" w:lineRule="auto"/>
      </w:pPr>
    </w:p>
    <w:p w:rsidR="00CB1C07" w:rsidRDefault="00257DB0" w:rsidP="008B7FA0">
      <w:pPr>
        <w:spacing w:line="276" w:lineRule="auto"/>
      </w:pPr>
      <w:r>
        <w:t xml:space="preserve">In </w:t>
      </w:r>
      <w:proofErr w:type="spellStart"/>
      <w:r w:rsidRPr="00257DB0">
        <w:rPr>
          <w:i/>
        </w:rPr>
        <w:t>Ptasynski</w:t>
      </w:r>
      <w:proofErr w:type="spellEnd"/>
      <w:r>
        <w:t xml:space="preserve">, the executor of the estate of a deceased nursing home resident brought multiple claims against Atlantic Health Systems stemming from the care of </w:t>
      </w:r>
      <w:r w:rsidR="00E06E51">
        <w:t>a patient</w:t>
      </w:r>
      <w:r>
        <w:t xml:space="preserve"> at Mt. Kemble Rehabilitation at Morristown Memorial Hospital.</w:t>
      </w:r>
      <w:r>
        <w:rPr>
          <w:rStyle w:val="FootnoteReference"/>
        </w:rPr>
        <w:footnoteReference w:id="7"/>
      </w:r>
      <w:r>
        <w:t xml:space="preserve"> Two of these claims were brought under the NHA.</w:t>
      </w:r>
      <w:r>
        <w:rPr>
          <w:rStyle w:val="FootnoteReference"/>
        </w:rPr>
        <w:footnoteReference w:id="8"/>
      </w:r>
      <w:r>
        <w:t xml:space="preserve"> The </w:t>
      </w:r>
      <w:r w:rsidR="00CB1C07">
        <w:t xml:space="preserve">relevant </w:t>
      </w:r>
      <w:r>
        <w:t xml:space="preserve">claim that was asserted under </w:t>
      </w:r>
      <w:r w:rsidRPr="008B7FA0">
        <w:t>N.J.S.</w:t>
      </w:r>
      <w:r>
        <w:t xml:space="preserve"> 30:13-4.2 alleged that the hospital violated </w:t>
      </w:r>
      <w:r w:rsidRPr="008B7FA0">
        <w:t>N.J.S.</w:t>
      </w:r>
      <w:r>
        <w:t xml:space="preserve"> 30:13-3h, </w:t>
      </w:r>
      <w:r w:rsidR="00CB0E4A" w:rsidRPr="00CB0E4A">
        <w:t>which</w:t>
      </w:r>
      <w:r w:rsidR="008C0640">
        <w:t xml:space="preserve"> establishes a responsibility for</w:t>
      </w:r>
      <w:r w:rsidR="00CB0E4A" w:rsidRPr="00CB0E4A">
        <w:t xml:space="preserve"> nursing homes to comply with all applicable state and federal statutes, rules and regulations.</w:t>
      </w:r>
      <w:r w:rsidR="00CB0E4A">
        <w:rPr>
          <w:rStyle w:val="FootnoteReference"/>
        </w:rPr>
        <w:footnoteReference w:id="9"/>
      </w:r>
      <w:r w:rsidR="00537B9F">
        <w:t xml:space="preserve"> </w:t>
      </w:r>
      <w:r w:rsidR="00CB1C07">
        <w:t>The defendant did not r</w:t>
      </w:r>
      <w:r w:rsidR="007179BB">
        <w:t>aise an argument rega</w:t>
      </w:r>
      <w:r w:rsidR="00CB0E4A">
        <w:t>rding th</w:t>
      </w:r>
      <w:r w:rsidR="00537B9F">
        <w:t xml:space="preserve">e validity of this </w:t>
      </w:r>
      <w:r w:rsidR="00CB1C07">
        <w:t>claim at the trial level.</w:t>
      </w:r>
      <w:r w:rsidR="007179BB">
        <w:rPr>
          <w:rStyle w:val="FootnoteReference"/>
        </w:rPr>
        <w:footnoteReference w:id="10"/>
      </w:r>
      <w:r w:rsidR="00CB0E4A">
        <w:t xml:space="preserve"> On</w:t>
      </w:r>
      <w:r w:rsidR="00537B9F">
        <w:t xml:space="preserve"> appeal, however, the court agreed with the defendant that the trial court erred by permitting the estate to pursue a</w:t>
      </w:r>
      <w:r w:rsidR="00A402D9">
        <w:t xml:space="preserve"> claim under </w:t>
      </w:r>
      <w:r w:rsidR="00A402D9" w:rsidRPr="008B7FA0">
        <w:t xml:space="preserve">N.J.S. </w:t>
      </w:r>
      <w:r w:rsidR="00A402D9">
        <w:t xml:space="preserve">30:13-4.2, finding that </w:t>
      </w:r>
      <w:r w:rsidR="0069013B">
        <w:t xml:space="preserve">a private party could only pursue a claim under this statute by a violation of </w:t>
      </w:r>
      <w:r w:rsidR="0069013B" w:rsidRPr="008B7FA0">
        <w:t>N.J.S.</w:t>
      </w:r>
      <w:r w:rsidR="0069013B">
        <w:t xml:space="preserve"> 30:13-4.1.</w:t>
      </w:r>
      <w:r w:rsidR="00537B9F">
        <w:rPr>
          <w:rStyle w:val="FootnoteReference"/>
        </w:rPr>
        <w:footnoteReference w:id="11"/>
      </w:r>
    </w:p>
    <w:p w:rsidR="00774FA0" w:rsidRDefault="00774FA0" w:rsidP="008B7FA0">
      <w:pPr>
        <w:spacing w:line="276" w:lineRule="auto"/>
        <w:ind w:firstLine="0"/>
      </w:pPr>
    </w:p>
    <w:p w:rsidR="00841312" w:rsidRDefault="00537B9F" w:rsidP="008B7FA0">
      <w:pPr>
        <w:spacing w:line="276" w:lineRule="auto"/>
        <w:ind w:firstLine="0"/>
      </w:pPr>
      <w:r>
        <w:tab/>
      </w:r>
      <w:r w:rsidR="006D0175">
        <w:t xml:space="preserve">Private parties still would have means of recovery for a violation of their rights under the NHA with a revision. </w:t>
      </w:r>
      <w:r w:rsidR="005B608A">
        <w:t xml:space="preserve">The NHA was enacted in 1976, and </w:t>
      </w:r>
      <w:r w:rsidR="00BC6740">
        <w:t xml:space="preserve">has always </w:t>
      </w:r>
      <w:r w:rsidR="005B608A">
        <w:t>allowed</w:t>
      </w:r>
      <w:r w:rsidR="00BC6740">
        <w:t xml:space="preserve"> private parties to bring </w:t>
      </w:r>
      <w:r w:rsidR="003C1395">
        <w:t>actions for a violation of a resident’s rights as defined by the law.</w:t>
      </w:r>
      <w:r w:rsidR="007B5EE0">
        <w:rPr>
          <w:rStyle w:val="FootnoteReference"/>
        </w:rPr>
        <w:footnoteReference w:id="12"/>
      </w:r>
      <w:r w:rsidR="00EC6575">
        <w:t xml:space="preserve"> </w:t>
      </w:r>
      <w:r w:rsidR="006D0175">
        <w:t xml:space="preserve">Private parties, however, cannot enforce nursing home’s responsibilities under the law – </w:t>
      </w:r>
      <w:r w:rsidR="006D0175" w:rsidRPr="008B7FA0">
        <w:t>N.J.S.</w:t>
      </w:r>
      <w:r w:rsidR="006D0175" w:rsidRPr="006D0175">
        <w:rPr>
          <w:i/>
        </w:rPr>
        <w:t xml:space="preserve"> </w:t>
      </w:r>
      <w:r w:rsidR="006D0175">
        <w:t>30:13-8a authorizes</w:t>
      </w:r>
      <w:r w:rsidR="00EC6575">
        <w:t xml:space="preserve"> only the DOH to bring an action to enforce</w:t>
      </w:r>
      <w:r w:rsidR="006D0175">
        <w:t xml:space="preserve"> these responsibilities</w:t>
      </w:r>
      <w:r w:rsidR="00E24AF6">
        <w:t>.</w:t>
      </w:r>
      <w:r w:rsidR="00E24AF6">
        <w:rPr>
          <w:rStyle w:val="FootnoteReference"/>
        </w:rPr>
        <w:footnoteReference w:id="13"/>
      </w:r>
      <w:r w:rsidR="003227D0">
        <w:t xml:space="preserve"> </w:t>
      </w:r>
    </w:p>
    <w:p w:rsidR="001D079F" w:rsidRDefault="001D079F" w:rsidP="008B7FA0">
      <w:pPr>
        <w:spacing w:line="276" w:lineRule="auto"/>
        <w:ind w:firstLine="0"/>
      </w:pPr>
    </w:p>
    <w:p w:rsidR="00CB0E4A" w:rsidRDefault="002C4CFC" w:rsidP="008B7FA0">
      <w:pPr>
        <w:spacing w:line="276" w:lineRule="auto"/>
        <w:ind w:firstLine="0"/>
      </w:pPr>
      <w:r>
        <w:tab/>
      </w:r>
      <w:r w:rsidR="0045600A">
        <w:t>The court came to this conclusion largely by looking at the legislative history of the bill.</w:t>
      </w:r>
      <w:r w:rsidR="0045600A">
        <w:rPr>
          <w:rStyle w:val="FootnoteReference"/>
        </w:rPr>
        <w:footnoteReference w:id="14"/>
      </w:r>
      <w:r w:rsidR="0045600A">
        <w:t xml:space="preserve"> </w:t>
      </w:r>
      <w:r>
        <w:t>The two provisions</w:t>
      </w:r>
      <w:r w:rsidR="006C0401">
        <w:t xml:space="preserve"> at issue in this potential project</w:t>
      </w:r>
      <w:r>
        <w:t xml:space="preserve">, </w:t>
      </w:r>
      <w:r w:rsidRPr="008B7FA0">
        <w:t>N.J.S.</w:t>
      </w:r>
      <w:r>
        <w:t xml:space="preserve"> 30:13-4.1 and </w:t>
      </w:r>
      <w:r w:rsidR="006C0401" w:rsidRPr="008B7FA0">
        <w:t>N.J.S.</w:t>
      </w:r>
      <w:r w:rsidR="006C0401">
        <w:t xml:space="preserve"> 30:13-4.2, were added to the NHA </w:t>
      </w:r>
      <w:r w:rsidR="004D2D85">
        <w:t>by</w:t>
      </w:r>
      <w:r w:rsidR="006C0401">
        <w:t xml:space="preserve"> amendment in 1991.</w:t>
      </w:r>
      <w:r w:rsidR="006C0401">
        <w:rPr>
          <w:rStyle w:val="FootnoteReference"/>
        </w:rPr>
        <w:footnoteReference w:id="15"/>
      </w:r>
      <w:r w:rsidR="006C0401">
        <w:t xml:space="preserve"> The court found that the phrase “this act” was only intended </w:t>
      </w:r>
      <w:r w:rsidR="0045600A">
        <w:t xml:space="preserve">to apply to these two added provisions for three </w:t>
      </w:r>
      <w:r w:rsidR="00B04299">
        <w:t>reasons</w:t>
      </w:r>
      <w:r w:rsidR="0016251B">
        <w:t>.</w:t>
      </w:r>
      <w:r w:rsidR="0045600A">
        <w:t xml:space="preserve"> First, there are other occurrences of “this act” within the provisions that could only be applied to these provisions. In </w:t>
      </w:r>
      <w:r w:rsidR="0045600A" w:rsidRPr="008B7FA0">
        <w:t>N.J.S.</w:t>
      </w:r>
      <w:r w:rsidR="0045600A">
        <w:t xml:space="preserve"> 30:13-4.1g, the legislature authorized the Commissioner of Banking to “</w:t>
      </w:r>
      <w:proofErr w:type="spellStart"/>
      <w:r w:rsidR="0045600A">
        <w:t>comput</w:t>
      </w:r>
      <w:proofErr w:type="spellEnd"/>
      <w:r w:rsidR="0045600A">
        <w:t xml:space="preserve">[e] the interest due […] pursuant to the provisions of this </w:t>
      </w:r>
      <w:proofErr w:type="gramStart"/>
      <w:r w:rsidR="0045600A">
        <w:t>act[</w:t>
      </w:r>
      <w:proofErr w:type="gramEnd"/>
      <w:r w:rsidR="0045600A">
        <w:t>.]”</w:t>
      </w:r>
      <w:r w:rsidR="0045600A">
        <w:rPr>
          <w:rStyle w:val="FootnoteReference"/>
        </w:rPr>
        <w:footnoteReference w:id="16"/>
      </w:r>
      <w:r w:rsidR="0045600A">
        <w:t xml:space="preserve"> Since the content of these provisions are limited to security deposits, the legislature could not have intended “this act” to apply to the entire NHA.</w:t>
      </w:r>
      <w:r w:rsidR="0045600A">
        <w:rPr>
          <w:rStyle w:val="FootnoteReference"/>
        </w:rPr>
        <w:footnoteReference w:id="17"/>
      </w:r>
      <w:r w:rsidR="00B04299">
        <w:t xml:space="preserve"> </w:t>
      </w:r>
      <w:r w:rsidR="0045600A">
        <w:t xml:space="preserve">Second, the court reasoned that “[t]he 1991 legislation imposed upon nursing homes new, specific requirements pertaining to security deposits, and allowed residents to bring actions to enforce those requirements, not other responsibilities that nursing homes have under </w:t>
      </w:r>
      <w:r w:rsidR="0045600A">
        <w:lastRenderedPageBreak/>
        <w:t>the law.”</w:t>
      </w:r>
      <w:r w:rsidR="0045600A">
        <w:rPr>
          <w:rStyle w:val="FootnoteReference"/>
        </w:rPr>
        <w:footnoteReference w:id="18"/>
      </w:r>
      <w:r w:rsidR="0045600A">
        <w:t xml:space="preserve"> And third, the court found that the position that “this act”</w:t>
      </w:r>
      <w:r w:rsidR="00B04299">
        <w:t xml:space="preserve"> only applied to the 1991 </w:t>
      </w:r>
      <w:r w:rsidR="0016251B">
        <w:t>a</w:t>
      </w:r>
      <w:r w:rsidR="0045600A">
        <w:t xml:space="preserve">mendments is supported by the </w:t>
      </w:r>
      <w:r w:rsidR="00B04299">
        <w:t>background l</w:t>
      </w:r>
      <w:r w:rsidR="0045600A">
        <w:t xml:space="preserve">egislative history of the bill, with multiple statements from the Senate Senior Citizen </w:t>
      </w:r>
      <w:r w:rsidR="00B04299">
        <w:t>and Veterans Affairs Committee</w:t>
      </w:r>
      <w:r w:rsidR="0045600A">
        <w:t xml:space="preserve"> and the Assembly Senior Citizens Committee referring to “this act” as only applying to the added provisions.</w:t>
      </w:r>
      <w:r w:rsidR="0045600A">
        <w:rPr>
          <w:rStyle w:val="FootnoteReference"/>
        </w:rPr>
        <w:footnoteReference w:id="19"/>
      </w:r>
    </w:p>
    <w:p w:rsidR="008B7FA0" w:rsidRDefault="008B7FA0" w:rsidP="008B7FA0">
      <w:pPr>
        <w:spacing w:line="276" w:lineRule="auto"/>
        <w:ind w:firstLine="0"/>
      </w:pPr>
    </w:p>
    <w:p w:rsidR="008B7FA0" w:rsidRPr="008B7FA0" w:rsidRDefault="008B7FA0" w:rsidP="008B7FA0">
      <w:pPr>
        <w:spacing w:line="276" w:lineRule="auto"/>
        <w:ind w:firstLine="0"/>
        <w:jc w:val="center"/>
        <w:rPr>
          <w:b/>
        </w:rPr>
      </w:pPr>
      <w:r>
        <w:rPr>
          <w:b/>
        </w:rPr>
        <w:t>Conclusion</w:t>
      </w:r>
    </w:p>
    <w:p w:rsidR="0045600A" w:rsidRDefault="0045600A" w:rsidP="008B7FA0">
      <w:pPr>
        <w:spacing w:line="276" w:lineRule="auto"/>
        <w:ind w:firstLine="0"/>
      </w:pPr>
    </w:p>
    <w:p w:rsidR="00BB463D" w:rsidRDefault="00B04299" w:rsidP="008B7FA0">
      <w:pPr>
        <w:spacing w:line="276" w:lineRule="auto"/>
      </w:pPr>
      <w:r>
        <w:t>S</w:t>
      </w:r>
      <w:r w:rsidR="00774FA0">
        <w:t xml:space="preserve">taff seeks authorization from the Commission to undertake a project in this area in an effort to research and clarify the statutory language of </w:t>
      </w:r>
      <w:r w:rsidR="006D0175" w:rsidRPr="008B7FA0">
        <w:t>N.J.S.</w:t>
      </w:r>
      <w:r w:rsidR="006D0175">
        <w:t xml:space="preserve"> 30:13-4.1 and </w:t>
      </w:r>
      <w:r w:rsidR="00774FA0" w:rsidRPr="008B7FA0">
        <w:t>N.J.S.</w:t>
      </w:r>
      <w:r w:rsidR="00774FA0">
        <w:t xml:space="preserve"> 30:13-4.2 in keeping </w:t>
      </w:r>
      <w:r w:rsidR="00841312">
        <w:t xml:space="preserve">with the judicial interpretation in </w:t>
      </w:r>
      <w:proofErr w:type="spellStart"/>
      <w:r w:rsidR="00841312" w:rsidRPr="00E24AF6">
        <w:rPr>
          <w:i/>
        </w:rPr>
        <w:t>Ptasynski</w:t>
      </w:r>
      <w:proofErr w:type="spellEnd"/>
      <w:r w:rsidR="00841312">
        <w:t xml:space="preserve">. </w:t>
      </w:r>
    </w:p>
    <w:sectPr w:rsidR="00BB463D" w:rsidSect="00196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BC" w:rsidRDefault="00F528BC" w:rsidP="00EC5AB6">
      <w:r>
        <w:separator/>
      </w:r>
    </w:p>
  </w:endnote>
  <w:endnote w:type="continuationSeparator" w:id="0">
    <w:p w:rsidR="00F528BC" w:rsidRDefault="00F528BC" w:rsidP="00EC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BC" w:rsidRDefault="00F528BC" w:rsidP="00EC5AB6">
      <w:r>
        <w:separator/>
      </w:r>
    </w:p>
  </w:footnote>
  <w:footnote w:type="continuationSeparator" w:id="0">
    <w:p w:rsidR="00F528BC" w:rsidRDefault="00F528BC" w:rsidP="00EC5AB6">
      <w:r>
        <w:continuationSeparator/>
      </w:r>
    </w:p>
  </w:footnote>
  <w:footnote w:id="1">
    <w:p w:rsidR="00EC6575" w:rsidRDefault="00EC6575">
      <w:pPr>
        <w:pStyle w:val="FootnoteText"/>
      </w:pPr>
      <w:r>
        <w:rPr>
          <w:rStyle w:val="FootnoteReference"/>
        </w:rPr>
        <w:footnoteRef/>
      </w:r>
      <w:r>
        <w:t xml:space="preserve"> </w:t>
      </w:r>
      <w:r w:rsidR="00B04299">
        <w:t>See</w:t>
      </w:r>
      <w:r>
        <w:t xml:space="preserve"> </w:t>
      </w:r>
      <w:r w:rsidR="000C0E93">
        <w:t xml:space="preserve">Nursing Home Responsibilities and Residents’ Rights Act, </w:t>
      </w:r>
      <w:r w:rsidR="00B04299">
        <w:t>N.J. Stat. Ann. § 30:13-1 – 13:13-17 (West 1976).</w:t>
      </w:r>
    </w:p>
  </w:footnote>
  <w:footnote w:id="2">
    <w:p w:rsidR="00EC6575" w:rsidRDefault="00EC6575" w:rsidP="00A61035">
      <w:pPr>
        <w:pStyle w:val="FootnoteText"/>
      </w:pPr>
      <w:r>
        <w:rPr>
          <w:rStyle w:val="FootnoteReference"/>
        </w:rPr>
        <w:footnoteRef/>
      </w:r>
      <w:r>
        <w:t xml:space="preserve"> N.J.S. §§ 30:13-4.1 and 30:13-4.2 </w:t>
      </w:r>
    </w:p>
  </w:footnote>
  <w:footnote w:id="3">
    <w:p w:rsidR="00EC6575" w:rsidRDefault="00EC6575" w:rsidP="00A61035">
      <w:pPr>
        <w:pStyle w:val="FootnoteText"/>
      </w:pPr>
      <w:r>
        <w:rPr>
          <w:rStyle w:val="FootnoteReference"/>
        </w:rPr>
        <w:footnoteRef/>
      </w:r>
      <w:r>
        <w:t xml:space="preserve"> </w:t>
      </w:r>
      <w:r w:rsidR="00B04299">
        <w:t xml:space="preserve">See </w:t>
      </w:r>
      <w:r>
        <w:t xml:space="preserve">N.J.S. §§ 30:13-4.2 </w:t>
      </w:r>
    </w:p>
  </w:footnote>
  <w:footnote w:id="4">
    <w:p w:rsidR="00EC6575" w:rsidRDefault="00EC6575" w:rsidP="00A61035">
      <w:pPr>
        <w:pStyle w:val="FootnoteText"/>
      </w:pPr>
      <w:r>
        <w:rPr>
          <w:rStyle w:val="FootnoteReference"/>
        </w:rPr>
        <w:footnoteRef/>
      </w:r>
      <w:r>
        <w:t xml:space="preserve"> Id. </w:t>
      </w:r>
    </w:p>
  </w:footnote>
  <w:footnote w:id="5">
    <w:p w:rsidR="00EC6575" w:rsidRDefault="00EC6575">
      <w:pPr>
        <w:pStyle w:val="FootnoteText"/>
      </w:pPr>
      <w:r>
        <w:rPr>
          <w:rStyle w:val="FootnoteReference"/>
        </w:rPr>
        <w:footnoteRef/>
      </w:r>
      <w:r w:rsidR="00B04299">
        <w:t xml:space="preserve"> See N.J.S. §§ 30:13-4.1. Establishes requirements for investment of deposits, notification of residents, and return of deposits with interest or earnings. </w:t>
      </w:r>
    </w:p>
  </w:footnote>
  <w:footnote w:id="6">
    <w:p w:rsidR="00EC6575" w:rsidRDefault="00EC6575">
      <w:pPr>
        <w:pStyle w:val="FootnoteText"/>
      </w:pPr>
      <w:r>
        <w:rPr>
          <w:rStyle w:val="FootnoteReference"/>
        </w:rPr>
        <w:footnoteRef/>
      </w:r>
      <w:r>
        <w:t xml:space="preserve"> </w:t>
      </w:r>
      <w:proofErr w:type="spellStart"/>
      <w:r w:rsidRPr="00CB1C07">
        <w:t>Ptasynski</w:t>
      </w:r>
      <w:proofErr w:type="spellEnd"/>
      <w:r w:rsidRPr="00CB1C07">
        <w:t xml:space="preserve"> v. Atlantic Health Sys</w:t>
      </w:r>
      <w:r>
        <w:t>tems, Inc.</w:t>
      </w:r>
      <w:r w:rsidR="00600EF3">
        <w:t>,</w:t>
      </w:r>
      <w:r>
        <w:t xml:space="preserve"> 440 N.J. Super 24, 36, 111 A.3d 111, 118</w:t>
      </w:r>
      <w:r w:rsidRPr="00CB1C07">
        <w:t xml:space="preserve"> (N.J. Super. Ct. App. Div. 2015).</w:t>
      </w:r>
    </w:p>
  </w:footnote>
  <w:footnote w:id="7">
    <w:p w:rsidR="00EC6575" w:rsidRDefault="00EC6575">
      <w:pPr>
        <w:pStyle w:val="FootnoteText"/>
      </w:pPr>
      <w:r>
        <w:rPr>
          <w:rStyle w:val="FootnoteReference"/>
        </w:rPr>
        <w:footnoteRef/>
      </w:r>
      <w:r>
        <w:t xml:space="preserve"> Id. at 113.  </w:t>
      </w:r>
    </w:p>
  </w:footnote>
  <w:footnote w:id="8">
    <w:p w:rsidR="00EC6575" w:rsidRDefault="00EC6575">
      <w:pPr>
        <w:pStyle w:val="FootnoteText"/>
      </w:pPr>
      <w:r>
        <w:rPr>
          <w:rStyle w:val="FootnoteReference"/>
        </w:rPr>
        <w:footnoteRef/>
      </w:r>
      <w:r>
        <w:t xml:space="preserve"> </w:t>
      </w:r>
      <w:proofErr w:type="spellStart"/>
      <w:r w:rsidR="00B04299" w:rsidRPr="00CB0E4A">
        <w:t>Ptasynski</w:t>
      </w:r>
      <w:proofErr w:type="spellEnd"/>
      <w:r w:rsidR="00B04299" w:rsidRPr="00CB0E4A">
        <w:t xml:space="preserve"> v. Atlantic Health Sys</w:t>
      </w:r>
      <w:r w:rsidR="00B04299">
        <w:t>tems, Inc. 440 N.J. Super 24, 33, 111 A.3d 111, 114</w:t>
      </w:r>
      <w:r w:rsidR="00B04299" w:rsidRPr="00CB0E4A">
        <w:t xml:space="preserve"> (N.J. Super. Ct. App. Div. 2015)</w:t>
      </w:r>
      <w:r w:rsidR="00B04299">
        <w:t xml:space="preserve"> </w:t>
      </w:r>
      <w:r>
        <w:t xml:space="preserve">Id. at 114-115. In addition to these two claims, the estate also brought a negligence claim and a wrongful death claim against the hospital. </w:t>
      </w:r>
    </w:p>
  </w:footnote>
  <w:footnote w:id="9">
    <w:p w:rsidR="00EC6575" w:rsidRDefault="00EC6575">
      <w:pPr>
        <w:pStyle w:val="FootnoteText"/>
      </w:pPr>
      <w:r>
        <w:rPr>
          <w:rStyle w:val="FootnoteReference"/>
        </w:rPr>
        <w:footnoteRef/>
      </w:r>
      <w:r>
        <w:t xml:space="preserve"> </w:t>
      </w:r>
      <w:r w:rsidR="00B04299">
        <w:t>Id. at 116.</w:t>
      </w:r>
      <w:r>
        <w:t xml:space="preserve"> Executor asserted claim specifically for alleged violation of </w:t>
      </w:r>
      <w:r w:rsidRPr="00A61035">
        <w:rPr>
          <w:i/>
        </w:rPr>
        <w:t>N.J.S.A.</w:t>
      </w:r>
      <w:r>
        <w:t xml:space="preserve"> 30:13-5j: “to a safe and decent living environment and considerate and respectful care that recognizes the dignity and individuality of the </w:t>
      </w:r>
      <w:proofErr w:type="gramStart"/>
      <w:r>
        <w:t>resident[</w:t>
      </w:r>
      <w:proofErr w:type="gramEnd"/>
      <w:r>
        <w:t>.]”</w:t>
      </w:r>
    </w:p>
  </w:footnote>
  <w:footnote w:id="10">
    <w:p w:rsidR="00EC6575" w:rsidRDefault="00EC6575">
      <w:pPr>
        <w:pStyle w:val="FootnoteText"/>
      </w:pPr>
      <w:r>
        <w:rPr>
          <w:rStyle w:val="FootnoteReference"/>
        </w:rPr>
        <w:footnoteRef/>
      </w:r>
      <w:r>
        <w:t xml:space="preserve"> Id. </w:t>
      </w:r>
    </w:p>
  </w:footnote>
  <w:footnote w:id="11">
    <w:p w:rsidR="00EC6575" w:rsidRDefault="00EC6575">
      <w:pPr>
        <w:pStyle w:val="FootnoteText"/>
      </w:pPr>
      <w:r>
        <w:rPr>
          <w:rStyle w:val="FootnoteReference"/>
        </w:rPr>
        <w:footnoteRef/>
      </w:r>
      <w:r>
        <w:t xml:space="preserve"> Id.</w:t>
      </w:r>
    </w:p>
  </w:footnote>
  <w:footnote w:id="12">
    <w:p w:rsidR="00EC6575" w:rsidRDefault="00EC6575">
      <w:pPr>
        <w:pStyle w:val="FootnoteText"/>
      </w:pPr>
      <w:r>
        <w:rPr>
          <w:rStyle w:val="FootnoteReference"/>
        </w:rPr>
        <w:footnoteRef/>
      </w:r>
      <w:r>
        <w:t xml:space="preserve"> Id.; See N.J.S. 30:13-1. </w:t>
      </w:r>
    </w:p>
  </w:footnote>
  <w:footnote w:id="13">
    <w:p w:rsidR="00E24AF6" w:rsidRDefault="00E24AF6">
      <w:pPr>
        <w:pStyle w:val="FootnoteText"/>
      </w:pPr>
      <w:r>
        <w:rPr>
          <w:rStyle w:val="FootnoteReference"/>
        </w:rPr>
        <w:footnoteRef/>
      </w:r>
      <w:r>
        <w:t xml:space="preserve"> Id. </w:t>
      </w:r>
    </w:p>
  </w:footnote>
  <w:footnote w:id="14">
    <w:p w:rsidR="0045600A" w:rsidRDefault="0045600A" w:rsidP="0045600A">
      <w:pPr>
        <w:pStyle w:val="FootnoteText"/>
      </w:pPr>
      <w:r>
        <w:rPr>
          <w:rStyle w:val="FootnoteReference"/>
        </w:rPr>
        <w:footnoteRef/>
      </w:r>
      <w:r>
        <w:t xml:space="preserve"> Id.</w:t>
      </w:r>
    </w:p>
  </w:footnote>
  <w:footnote w:id="15">
    <w:p w:rsidR="006C0401" w:rsidRDefault="006C0401">
      <w:pPr>
        <w:pStyle w:val="FootnoteText"/>
      </w:pPr>
      <w:r>
        <w:rPr>
          <w:rStyle w:val="FootnoteReference"/>
        </w:rPr>
        <w:footnoteRef/>
      </w:r>
      <w:r>
        <w:t xml:space="preserve"> Id. at 117. </w:t>
      </w:r>
    </w:p>
  </w:footnote>
  <w:footnote w:id="16">
    <w:p w:rsidR="0045600A" w:rsidRDefault="0045600A">
      <w:pPr>
        <w:pStyle w:val="FootnoteText"/>
      </w:pPr>
      <w:r>
        <w:rPr>
          <w:rStyle w:val="FootnoteReference"/>
        </w:rPr>
        <w:footnoteRef/>
      </w:r>
      <w:r>
        <w:t xml:space="preserve"> See id. </w:t>
      </w:r>
    </w:p>
  </w:footnote>
  <w:footnote w:id="17">
    <w:p w:rsidR="0045600A" w:rsidRDefault="0045600A">
      <w:pPr>
        <w:pStyle w:val="FootnoteText"/>
      </w:pPr>
      <w:r>
        <w:rPr>
          <w:rStyle w:val="FootnoteReference"/>
        </w:rPr>
        <w:footnoteRef/>
      </w:r>
      <w:r>
        <w:t xml:space="preserve"> Id. </w:t>
      </w:r>
    </w:p>
  </w:footnote>
  <w:footnote w:id="18">
    <w:p w:rsidR="0045600A" w:rsidRDefault="0045600A">
      <w:pPr>
        <w:pStyle w:val="FootnoteText"/>
      </w:pPr>
      <w:r>
        <w:rPr>
          <w:rStyle w:val="FootnoteReference"/>
        </w:rPr>
        <w:footnoteRef/>
      </w:r>
      <w:r>
        <w:t xml:space="preserve"> See id. </w:t>
      </w:r>
    </w:p>
  </w:footnote>
  <w:footnote w:id="19">
    <w:p w:rsidR="0045600A" w:rsidRDefault="0045600A">
      <w:pPr>
        <w:pStyle w:val="FootnoteText"/>
      </w:pPr>
      <w:r>
        <w:rPr>
          <w:rStyle w:val="FootnoteReference"/>
        </w:rPr>
        <w:footnoteRef/>
      </w:r>
      <w:r>
        <w:t xml:space="preserve"> Id. at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0544"/>
    <w:multiLevelType w:val="hybridMultilevel"/>
    <w:tmpl w:val="12362326"/>
    <w:lvl w:ilvl="0" w:tplc="D9DE96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32F"/>
    <w:rsid w:val="00017686"/>
    <w:rsid w:val="000205C6"/>
    <w:rsid w:val="0002320E"/>
    <w:rsid w:val="000C0E93"/>
    <w:rsid w:val="00142ACD"/>
    <w:rsid w:val="0016251B"/>
    <w:rsid w:val="0018147B"/>
    <w:rsid w:val="00186AA4"/>
    <w:rsid w:val="00196972"/>
    <w:rsid w:val="001D079F"/>
    <w:rsid w:val="00224F36"/>
    <w:rsid w:val="002515B6"/>
    <w:rsid w:val="00257DB0"/>
    <w:rsid w:val="00271EAE"/>
    <w:rsid w:val="002A3C78"/>
    <w:rsid w:val="002C4CFC"/>
    <w:rsid w:val="003227D0"/>
    <w:rsid w:val="00333A16"/>
    <w:rsid w:val="0034132F"/>
    <w:rsid w:val="00345CD4"/>
    <w:rsid w:val="003958EB"/>
    <w:rsid w:val="003A1B24"/>
    <w:rsid w:val="003B7992"/>
    <w:rsid w:val="003C1395"/>
    <w:rsid w:val="003D69FC"/>
    <w:rsid w:val="00403242"/>
    <w:rsid w:val="00404098"/>
    <w:rsid w:val="00411A76"/>
    <w:rsid w:val="0045600A"/>
    <w:rsid w:val="004D2D85"/>
    <w:rsid w:val="00537B9F"/>
    <w:rsid w:val="00567317"/>
    <w:rsid w:val="005A5F69"/>
    <w:rsid w:val="005B608A"/>
    <w:rsid w:val="005D7BB6"/>
    <w:rsid w:val="005E28B6"/>
    <w:rsid w:val="00600EF3"/>
    <w:rsid w:val="0061308F"/>
    <w:rsid w:val="00617CD9"/>
    <w:rsid w:val="006273A8"/>
    <w:rsid w:val="006536A6"/>
    <w:rsid w:val="00666E82"/>
    <w:rsid w:val="0069013B"/>
    <w:rsid w:val="006C0401"/>
    <w:rsid w:val="006C23F8"/>
    <w:rsid w:val="006D0175"/>
    <w:rsid w:val="007179BB"/>
    <w:rsid w:val="00757349"/>
    <w:rsid w:val="00774FA0"/>
    <w:rsid w:val="00786655"/>
    <w:rsid w:val="007B5EE0"/>
    <w:rsid w:val="007E3F41"/>
    <w:rsid w:val="00836CA1"/>
    <w:rsid w:val="00841312"/>
    <w:rsid w:val="00890DA6"/>
    <w:rsid w:val="008925AA"/>
    <w:rsid w:val="008B7FA0"/>
    <w:rsid w:val="008C0640"/>
    <w:rsid w:val="008E5226"/>
    <w:rsid w:val="008F7DAE"/>
    <w:rsid w:val="00906669"/>
    <w:rsid w:val="00974433"/>
    <w:rsid w:val="009E7926"/>
    <w:rsid w:val="00A402D9"/>
    <w:rsid w:val="00A61035"/>
    <w:rsid w:val="00A94E5D"/>
    <w:rsid w:val="00B04299"/>
    <w:rsid w:val="00B460C1"/>
    <w:rsid w:val="00B6201D"/>
    <w:rsid w:val="00B8666B"/>
    <w:rsid w:val="00B94E1D"/>
    <w:rsid w:val="00BB463D"/>
    <w:rsid w:val="00BC3618"/>
    <w:rsid w:val="00BC6740"/>
    <w:rsid w:val="00C17A74"/>
    <w:rsid w:val="00CB0E4A"/>
    <w:rsid w:val="00CB1C07"/>
    <w:rsid w:val="00CF7D17"/>
    <w:rsid w:val="00D2469E"/>
    <w:rsid w:val="00D262AB"/>
    <w:rsid w:val="00D3717E"/>
    <w:rsid w:val="00D552BC"/>
    <w:rsid w:val="00D97DBB"/>
    <w:rsid w:val="00DF0C7B"/>
    <w:rsid w:val="00E06E51"/>
    <w:rsid w:val="00E24AF6"/>
    <w:rsid w:val="00E2776D"/>
    <w:rsid w:val="00E83375"/>
    <w:rsid w:val="00EC5AB6"/>
    <w:rsid w:val="00EC6575"/>
    <w:rsid w:val="00F528BC"/>
    <w:rsid w:val="00F930FE"/>
    <w:rsid w:val="00FB34B6"/>
    <w:rsid w:val="00FD176F"/>
    <w:rsid w:val="00FD2F44"/>
    <w:rsid w:val="00FD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21C9A-BDC6-416F-A104-9505374B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2F"/>
    <w:pPr>
      <w:ind w:firstLine="720"/>
      <w:jc w:val="both"/>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5AB6"/>
    <w:rPr>
      <w:sz w:val="20"/>
      <w:szCs w:val="20"/>
    </w:rPr>
  </w:style>
  <w:style w:type="character" w:customStyle="1" w:styleId="FootnoteTextChar">
    <w:name w:val="Footnote Text Char"/>
    <w:basedOn w:val="DefaultParagraphFont"/>
    <w:link w:val="FootnoteText"/>
    <w:uiPriority w:val="99"/>
    <w:semiHidden/>
    <w:rsid w:val="00EC5AB6"/>
    <w:rPr>
      <w:rFonts w:eastAsia="Calibri" w:cs="Times New Roman"/>
      <w:sz w:val="20"/>
      <w:szCs w:val="20"/>
    </w:rPr>
  </w:style>
  <w:style w:type="character" w:styleId="FootnoteReference">
    <w:name w:val="footnote reference"/>
    <w:basedOn w:val="DefaultParagraphFont"/>
    <w:uiPriority w:val="99"/>
    <w:semiHidden/>
    <w:unhideWhenUsed/>
    <w:rsid w:val="00EC5AB6"/>
    <w:rPr>
      <w:vertAlign w:val="superscript"/>
    </w:rPr>
  </w:style>
  <w:style w:type="character" w:styleId="Hyperlink">
    <w:name w:val="Hyperlink"/>
    <w:basedOn w:val="DefaultParagraphFont"/>
    <w:uiPriority w:val="99"/>
    <w:unhideWhenUsed/>
    <w:rsid w:val="003958EB"/>
    <w:rPr>
      <w:color w:val="0000FF" w:themeColor="hyperlink"/>
      <w:u w:val="single"/>
    </w:rPr>
  </w:style>
  <w:style w:type="paragraph" w:styleId="ListParagraph">
    <w:name w:val="List Paragraph"/>
    <w:basedOn w:val="Normal"/>
    <w:uiPriority w:val="34"/>
    <w:qFormat/>
    <w:rsid w:val="0077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50613B-509A-4168-A8A0-D40B23FF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Laura Tharney</cp:lastModifiedBy>
  <cp:revision>2</cp:revision>
  <dcterms:created xsi:type="dcterms:W3CDTF">2015-07-06T14:38:00Z</dcterms:created>
  <dcterms:modified xsi:type="dcterms:W3CDTF">2015-07-06T14:38:00Z</dcterms:modified>
</cp:coreProperties>
</file>