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684B2" w14:textId="77777777" w:rsidR="00800E8A" w:rsidRPr="00DF5575" w:rsidRDefault="00800E8A" w:rsidP="00800E8A">
      <w:pPr>
        <w:keepNext/>
        <w:keepLines/>
        <w:ind w:left="720" w:hanging="720"/>
        <w:jc w:val="both"/>
        <w:outlineLvl w:val="0"/>
        <w:rPr>
          <w:rFonts w:eastAsia="MS Gothic"/>
          <w:b/>
          <w:bCs/>
          <w:iCs/>
          <w:szCs w:val="28"/>
        </w:rPr>
      </w:pPr>
      <w:r w:rsidRPr="00DF5575">
        <w:rPr>
          <w:rFonts w:eastAsia="MS Gothic"/>
          <w:b/>
          <w:bCs/>
          <w:iCs/>
          <w:szCs w:val="28"/>
        </w:rPr>
        <w:t xml:space="preserve">To: </w:t>
      </w:r>
      <w:r w:rsidRPr="00DF5575">
        <w:rPr>
          <w:rFonts w:eastAsia="MS Gothic"/>
          <w:b/>
          <w:bCs/>
          <w:iCs/>
          <w:szCs w:val="28"/>
        </w:rPr>
        <w:tab/>
      </w:r>
      <w:r>
        <w:rPr>
          <w:rFonts w:eastAsia="MS Gothic"/>
          <w:b/>
          <w:bCs/>
          <w:iCs/>
          <w:szCs w:val="28"/>
        </w:rPr>
        <w:t>New Jersey Law Revision Commission</w:t>
      </w:r>
    </w:p>
    <w:p w14:paraId="398D593C" w14:textId="77777777" w:rsidR="00800E8A" w:rsidRPr="00DF5575" w:rsidRDefault="00800E8A" w:rsidP="00800E8A">
      <w:pPr>
        <w:keepNext/>
        <w:keepLines/>
        <w:ind w:left="720" w:hanging="720"/>
        <w:jc w:val="both"/>
        <w:outlineLvl w:val="0"/>
        <w:rPr>
          <w:rFonts w:eastAsia="MS Gothic"/>
          <w:b/>
          <w:bCs/>
          <w:iCs/>
          <w:szCs w:val="28"/>
        </w:rPr>
      </w:pPr>
      <w:r w:rsidRPr="00DF5575">
        <w:rPr>
          <w:rFonts w:eastAsia="MS Gothic"/>
          <w:b/>
          <w:bCs/>
          <w:iCs/>
          <w:szCs w:val="28"/>
        </w:rPr>
        <w:t>From:</w:t>
      </w:r>
      <w:r w:rsidRPr="00DF5575">
        <w:rPr>
          <w:rFonts w:eastAsia="MS Gothic"/>
          <w:b/>
          <w:bCs/>
          <w:iCs/>
          <w:szCs w:val="28"/>
        </w:rPr>
        <w:tab/>
      </w:r>
      <w:r>
        <w:rPr>
          <w:rFonts w:eastAsia="MS Gothic"/>
          <w:b/>
          <w:bCs/>
          <w:iCs/>
          <w:szCs w:val="28"/>
        </w:rPr>
        <w:t>Jayne Johnson</w:t>
      </w:r>
    </w:p>
    <w:p w14:paraId="7EA531F4" w14:textId="1A261A51" w:rsidR="00800E8A" w:rsidRPr="00DF5575" w:rsidRDefault="00800E8A" w:rsidP="00800E8A">
      <w:pPr>
        <w:keepNext/>
        <w:keepLines/>
        <w:ind w:left="720" w:hanging="720"/>
        <w:jc w:val="both"/>
        <w:outlineLvl w:val="0"/>
        <w:rPr>
          <w:rFonts w:eastAsia="MS Gothic"/>
          <w:b/>
          <w:bCs/>
          <w:iCs/>
          <w:szCs w:val="28"/>
        </w:rPr>
      </w:pPr>
      <w:r w:rsidRPr="00DF5575">
        <w:rPr>
          <w:rFonts w:eastAsia="MS Gothic"/>
          <w:b/>
          <w:bCs/>
          <w:iCs/>
          <w:szCs w:val="28"/>
        </w:rPr>
        <w:t>Re:</w:t>
      </w:r>
      <w:r w:rsidRPr="00DF5575">
        <w:rPr>
          <w:rFonts w:eastAsia="MS Gothic"/>
          <w:b/>
          <w:bCs/>
          <w:iCs/>
          <w:szCs w:val="28"/>
        </w:rPr>
        <w:tab/>
      </w:r>
      <w:r>
        <w:rPr>
          <w:rFonts w:eastAsia="MS Gothic"/>
          <w:b/>
          <w:bCs/>
          <w:iCs/>
          <w:szCs w:val="28"/>
        </w:rPr>
        <w:t>New Jersey Franchises Practices Act</w:t>
      </w:r>
      <w:r w:rsidR="00081323">
        <w:rPr>
          <w:rFonts w:eastAsia="MS Gothic"/>
          <w:b/>
          <w:bCs/>
          <w:iCs/>
          <w:szCs w:val="28"/>
        </w:rPr>
        <w:t xml:space="preserve"> – Provisions governing arbitration </w:t>
      </w:r>
      <w:r w:rsidRPr="00FD4524">
        <w:rPr>
          <w:rFonts w:eastAsia="MS Gothic"/>
          <w:b/>
          <w:bCs/>
          <w:i/>
          <w:iCs/>
          <w:szCs w:val="28"/>
        </w:rPr>
        <w:t xml:space="preserve"> </w:t>
      </w:r>
      <w:r>
        <w:rPr>
          <w:rFonts w:eastAsia="MS Gothic"/>
          <w:b/>
          <w:bCs/>
          <w:iCs/>
          <w:szCs w:val="28"/>
        </w:rPr>
        <w:t xml:space="preserve"> </w:t>
      </w:r>
    </w:p>
    <w:p w14:paraId="227A51B5" w14:textId="38E13763" w:rsidR="00800E8A" w:rsidRDefault="00800E8A" w:rsidP="00800E8A">
      <w:pPr>
        <w:keepNext/>
        <w:keepLines/>
        <w:jc w:val="both"/>
        <w:outlineLvl w:val="0"/>
        <w:rPr>
          <w:rFonts w:eastAsia="MS Gothic"/>
          <w:b/>
          <w:bCs/>
          <w:iCs/>
        </w:rPr>
      </w:pPr>
      <w:r w:rsidRPr="00B603C2">
        <w:rPr>
          <w:rFonts w:eastAsia="MS Gothic"/>
          <w:b/>
          <w:bCs/>
          <w:iCs/>
        </w:rPr>
        <w:t xml:space="preserve">Date: </w:t>
      </w:r>
      <w:r>
        <w:rPr>
          <w:rFonts w:eastAsia="MS Gothic"/>
          <w:b/>
          <w:bCs/>
          <w:iCs/>
        </w:rPr>
        <w:tab/>
      </w:r>
      <w:r w:rsidR="00FE21F6">
        <w:rPr>
          <w:rFonts w:eastAsia="MS Gothic"/>
          <w:b/>
          <w:bCs/>
          <w:iCs/>
        </w:rPr>
        <w:t>June 5, 2017</w:t>
      </w:r>
    </w:p>
    <w:p w14:paraId="499D4E2B" w14:textId="77777777" w:rsidR="00B350AA" w:rsidRDefault="00B350AA" w:rsidP="00B350AA">
      <w:pPr>
        <w:pStyle w:val="FootnoteText"/>
      </w:pPr>
    </w:p>
    <w:p w14:paraId="6CE579DC" w14:textId="77777777" w:rsidR="00800E8A" w:rsidRDefault="00800E8A" w:rsidP="000B37CE">
      <w:pPr>
        <w:pStyle w:val="FootnoteText"/>
        <w:rPr>
          <w:b/>
          <w:sz w:val="24"/>
          <w:szCs w:val="24"/>
        </w:rPr>
      </w:pPr>
    </w:p>
    <w:p w14:paraId="3A80DA78" w14:textId="77777777" w:rsidR="00B350AA" w:rsidRPr="00EA0917" w:rsidRDefault="001871D2" w:rsidP="00CA6542">
      <w:pPr>
        <w:pStyle w:val="FootnoteText"/>
        <w:jc w:val="center"/>
        <w:rPr>
          <w:b/>
          <w:smallCaps/>
          <w:sz w:val="24"/>
          <w:szCs w:val="24"/>
        </w:rPr>
      </w:pPr>
      <w:r w:rsidRPr="00EA0917">
        <w:rPr>
          <w:b/>
          <w:smallCaps/>
          <w:sz w:val="24"/>
          <w:szCs w:val="24"/>
        </w:rPr>
        <w:t xml:space="preserve">Executive Summary </w:t>
      </w:r>
    </w:p>
    <w:p w14:paraId="7C49F6A5" w14:textId="77777777" w:rsidR="001871D2" w:rsidRPr="00800E8A" w:rsidRDefault="001871D2" w:rsidP="00CA6542">
      <w:pPr>
        <w:pStyle w:val="FootnoteText"/>
        <w:jc w:val="center"/>
        <w:rPr>
          <w:sz w:val="24"/>
          <w:szCs w:val="24"/>
        </w:rPr>
      </w:pPr>
    </w:p>
    <w:p w14:paraId="13C48D9F" w14:textId="2546D228" w:rsidR="001A32E2" w:rsidRDefault="001A7E1B" w:rsidP="00CA6542">
      <w:pPr>
        <w:spacing w:line="276" w:lineRule="auto"/>
        <w:ind w:firstLine="720"/>
        <w:jc w:val="both"/>
      </w:pPr>
      <w:r>
        <w:t>B</w:t>
      </w:r>
      <w:r w:rsidRPr="00081323">
        <w:t>ased on the recent decision of the U</w:t>
      </w:r>
      <w:r w:rsidR="001A32E2">
        <w:t xml:space="preserve">nited </w:t>
      </w:r>
      <w:r w:rsidRPr="00081323">
        <w:t>S</w:t>
      </w:r>
      <w:r w:rsidR="001A32E2">
        <w:t>tates</w:t>
      </w:r>
      <w:r w:rsidRPr="00081323">
        <w:t xml:space="preserve"> Supreme Court in </w:t>
      </w:r>
      <w:r w:rsidRPr="00081323">
        <w:rPr>
          <w:i/>
        </w:rPr>
        <w:t>Kindred Nursing</w:t>
      </w:r>
      <w:r w:rsidRPr="001F4773">
        <w:rPr>
          <w:i/>
        </w:rPr>
        <w:t>, L.P.</w:t>
      </w:r>
      <w:r>
        <w:rPr>
          <w:i/>
        </w:rPr>
        <w:t xml:space="preserve"> v. Clark</w:t>
      </w:r>
      <w:r>
        <w:t>,</w:t>
      </w:r>
      <w:r w:rsidRPr="00081323">
        <w:t xml:space="preserve"> </w:t>
      </w:r>
      <w:r w:rsidR="00453D1A" w:rsidRPr="00081323">
        <w:t xml:space="preserve">Staff revisited the </w:t>
      </w:r>
      <w:r w:rsidR="00B350AA" w:rsidRPr="00081323">
        <w:t>Draft Tentative Report proposing revisions to the New Jersey Franchises Practices Act</w:t>
      </w:r>
      <w:r w:rsidR="001E6B9A">
        <w:t xml:space="preserve">. </w:t>
      </w:r>
    </w:p>
    <w:p w14:paraId="36F07FEC" w14:textId="77777777" w:rsidR="001A32E2" w:rsidRDefault="001A32E2" w:rsidP="00CA6542">
      <w:pPr>
        <w:spacing w:line="276" w:lineRule="auto"/>
        <w:ind w:firstLine="720"/>
        <w:jc w:val="both"/>
      </w:pPr>
    </w:p>
    <w:p w14:paraId="17183C34" w14:textId="44E37481" w:rsidR="00081323" w:rsidRDefault="001A32E2" w:rsidP="00CA6542">
      <w:pPr>
        <w:spacing w:line="276" w:lineRule="auto"/>
        <w:ind w:firstLine="720"/>
        <w:jc w:val="both"/>
        <w:rPr>
          <w:rFonts w:eastAsia="Times New Roman"/>
        </w:rPr>
      </w:pPr>
      <w:r>
        <w:t>I</w:t>
      </w:r>
      <w:r w:rsidR="001A7E1B">
        <w:t xml:space="preserve">n </w:t>
      </w:r>
      <w:r w:rsidR="001A7E1B">
        <w:rPr>
          <w:i/>
        </w:rPr>
        <w:t>Kindred</w:t>
      </w:r>
      <w:r w:rsidR="001A7E1B">
        <w:t xml:space="preserve"> </w:t>
      </w:r>
      <w:r w:rsidR="001A7E1B">
        <w:rPr>
          <w:i/>
        </w:rPr>
        <w:t>Nursing</w:t>
      </w:r>
      <w:r w:rsidR="001A7E1B">
        <w:t xml:space="preserve">, </w:t>
      </w:r>
      <w:r>
        <w:t xml:space="preserve">the Court </w:t>
      </w:r>
      <w:r w:rsidR="0031014C">
        <w:t>considered a Kentucky rule permitting an agent to waive the principal’s right to a jury trial only if expressly provide</w:t>
      </w:r>
      <w:r w:rsidR="001A7E1B">
        <w:t>d</w:t>
      </w:r>
      <w:r w:rsidR="0031014C">
        <w:t xml:space="preserve"> in the power of attorney. The U.S. Supreme Court held that the</w:t>
      </w:r>
      <w:r w:rsidR="001A7E1B">
        <w:t xml:space="preserve"> state</w:t>
      </w:r>
      <w:r w:rsidR="0031014C">
        <w:t xml:space="preserve"> rule violates the Federal Arbitration Act by singling out arbitration for disfavored treatment. </w:t>
      </w:r>
      <w:r w:rsidR="001A7E1B">
        <w:t xml:space="preserve">This </w:t>
      </w:r>
      <w:r>
        <w:t>M</w:t>
      </w:r>
      <w:r w:rsidR="00C91B70" w:rsidRPr="00081323">
        <w:t>emorandum</w:t>
      </w:r>
      <w:r w:rsidR="001A7E1B">
        <w:t xml:space="preserve">, in accord with the </w:t>
      </w:r>
      <w:r w:rsidR="001A7E1B" w:rsidRPr="0031014C">
        <w:rPr>
          <w:i/>
        </w:rPr>
        <w:t>Kindred</w:t>
      </w:r>
      <w:r w:rsidR="007A1BCB">
        <w:rPr>
          <w:i/>
        </w:rPr>
        <w:t xml:space="preserve"> Nursing</w:t>
      </w:r>
      <w:r w:rsidR="007A1BCB">
        <w:t xml:space="preserve"> </w:t>
      </w:r>
      <w:r w:rsidR="001A7E1B">
        <w:t xml:space="preserve">decision, </w:t>
      </w:r>
      <w:r w:rsidR="00453D1A" w:rsidRPr="00081323">
        <w:t>pr</w:t>
      </w:r>
      <w:r w:rsidR="00C91B70" w:rsidRPr="00081323">
        <w:t>oposes</w:t>
      </w:r>
      <w:r w:rsidR="00453D1A" w:rsidRPr="00081323">
        <w:t xml:space="preserve"> r</w:t>
      </w:r>
      <w:r w:rsidR="0031014C">
        <w:t>emoving</w:t>
      </w:r>
      <w:r w:rsidR="001A7E1B">
        <w:t xml:space="preserve"> statutory provisions </w:t>
      </w:r>
      <w:r w:rsidR="0031014C">
        <w:t xml:space="preserve">disfavoring </w:t>
      </w:r>
      <w:r w:rsidR="00453D1A" w:rsidRPr="00081323">
        <w:t>a</w:t>
      </w:r>
      <w:r w:rsidR="0031014C">
        <w:t>rbitration from the N</w:t>
      </w:r>
      <w:r w:rsidR="009D416F">
        <w:t>ew Jersey Franchise Practices Act</w:t>
      </w:r>
      <w:r w:rsidR="0031014C">
        <w:t>.</w:t>
      </w:r>
      <w:r w:rsidR="001833EF">
        <w:t xml:space="preserve"> </w:t>
      </w:r>
      <w:r w:rsidR="001833EF">
        <w:rPr>
          <w:rFonts w:eastAsia="Times New Roman"/>
        </w:rPr>
        <w:t xml:space="preserve">Staff requests approval from the Commission to recommend the portions of </w:t>
      </w:r>
      <w:r w:rsidR="009D416F">
        <w:rPr>
          <w:rFonts w:eastAsia="Times New Roman"/>
        </w:rPr>
        <w:t>N.J.S. 56:10-</w:t>
      </w:r>
      <w:r w:rsidR="009F70F7">
        <w:rPr>
          <w:rFonts w:eastAsia="Times New Roman"/>
        </w:rPr>
        <w:t>7.3</w:t>
      </w:r>
      <w:r w:rsidR="009D416F">
        <w:rPr>
          <w:rFonts w:eastAsia="Times New Roman"/>
        </w:rPr>
        <w:t xml:space="preserve"> </w:t>
      </w:r>
      <w:r w:rsidR="001833EF">
        <w:rPr>
          <w:rFonts w:eastAsia="Times New Roman"/>
        </w:rPr>
        <w:t xml:space="preserve">for repeal as indicated in the </w:t>
      </w:r>
      <w:r>
        <w:rPr>
          <w:rFonts w:eastAsia="Times New Roman"/>
        </w:rPr>
        <w:t>A</w:t>
      </w:r>
      <w:r w:rsidR="001833EF">
        <w:rPr>
          <w:rFonts w:eastAsia="Times New Roman"/>
        </w:rPr>
        <w:t xml:space="preserve">ppendix of this </w:t>
      </w:r>
      <w:r>
        <w:rPr>
          <w:rFonts w:eastAsia="Times New Roman"/>
        </w:rPr>
        <w:t>M</w:t>
      </w:r>
      <w:r w:rsidR="001833EF">
        <w:rPr>
          <w:rFonts w:eastAsia="Times New Roman"/>
        </w:rPr>
        <w:t>emorandum.</w:t>
      </w:r>
      <w:r w:rsidR="00CA6542">
        <w:rPr>
          <w:rFonts w:eastAsia="Times New Roman"/>
        </w:rPr>
        <w:t xml:space="preserve"> </w:t>
      </w:r>
    </w:p>
    <w:p w14:paraId="76B71E8E" w14:textId="77777777" w:rsidR="001A32E2" w:rsidRDefault="001A32E2" w:rsidP="00CA6542">
      <w:pPr>
        <w:spacing w:line="276" w:lineRule="auto"/>
        <w:ind w:firstLine="720"/>
        <w:jc w:val="both"/>
        <w:rPr>
          <w:b/>
          <w:smallCaps/>
        </w:rPr>
      </w:pPr>
    </w:p>
    <w:p w14:paraId="0B2AAB18" w14:textId="77777777" w:rsidR="00B350AA" w:rsidRPr="00EA0917" w:rsidRDefault="00BD4F6C" w:rsidP="00CA6542">
      <w:pPr>
        <w:pStyle w:val="NoSpacing"/>
        <w:spacing w:line="276" w:lineRule="auto"/>
        <w:jc w:val="center"/>
        <w:rPr>
          <w:b/>
          <w:smallCaps/>
        </w:rPr>
      </w:pPr>
      <w:r w:rsidRPr="00EA0917">
        <w:rPr>
          <w:b/>
          <w:smallCaps/>
        </w:rPr>
        <w:t xml:space="preserve">Background </w:t>
      </w:r>
    </w:p>
    <w:p w14:paraId="2898B40E" w14:textId="77777777" w:rsidR="00CA6542" w:rsidRDefault="00CA6542" w:rsidP="00CA6542">
      <w:pPr>
        <w:spacing w:line="276" w:lineRule="auto"/>
        <w:ind w:firstLine="720"/>
        <w:jc w:val="both"/>
      </w:pPr>
    </w:p>
    <w:p w14:paraId="0A5F9177" w14:textId="7FE18ACE" w:rsidR="001F636F" w:rsidRDefault="001E6B9A" w:rsidP="00CA6542">
      <w:pPr>
        <w:spacing w:line="276" w:lineRule="auto"/>
        <w:ind w:firstLine="720"/>
        <w:jc w:val="both"/>
        <w:rPr>
          <w:rFonts w:eastAsia="Times New Roman"/>
        </w:rPr>
      </w:pPr>
      <w:r w:rsidRPr="001F4773">
        <w:t>The New Jersey Franchise Practices Act (N</w:t>
      </w:r>
      <w:r w:rsidR="00F233DA">
        <w:t>J</w:t>
      </w:r>
      <w:r w:rsidRPr="001F4773">
        <w:t>FPA or the Act)</w:t>
      </w:r>
      <w:r w:rsidR="00FF42EA" w:rsidRPr="001F4773">
        <w:t xml:space="preserve"> was designed to “</w:t>
      </w:r>
      <w:r w:rsidR="00FF42EA" w:rsidRPr="001F4773">
        <w:rPr>
          <w:rFonts w:eastAsia="Times New Roman"/>
        </w:rPr>
        <w:t>level the playing field for New Jersey franchisees and prevent their exploitation by franchisors with superior economic resources.”</w:t>
      </w:r>
      <w:r w:rsidR="00E466B6" w:rsidRPr="001F4773">
        <w:rPr>
          <w:rStyle w:val="FootnoteReference"/>
          <w:rFonts w:eastAsia="Times New Roman"/>
        </w:rPr>
        <w:footnoteReference w:id="1"/>
      </w:r>
      <w:r w:rsidR="00DA38EE" w:rsidRPr="001F4773">
        <w:rPr>
          <w:rFonts w:eastAsia="Times New Roman"/>
        </w:rPr>
        <w:t xml:space="preserve"> </w:t>
      </w:r>
      <w:r w:rsidR="00FF42EA" w:rsidRPr="001F4773">
        <w:rPr>
          <w:rFonts w:eastAsia="Times New Roman"/>
        </w:rPr>
        <w:t xml:space="preserve">In accord, case law </w:t>
      </w:r>
      <w:r w:rsidR="00E03059" w:rsidRPr="001F4773">
        <w:rPr>
          <w:rFonts w:eastAsia="Times New Roman"/>
        </w:rPr>
        <w:t>interpreting</w:t>
      </w:r>
      <w:r w:rsidR="00FF42EA" w:rsidRPr="001F4773">
        <w:rPr>
          <w:rFonts w:eastAsia="Times New Roman"/>
        </w:rPr>
        <w:t xml:space="preserve"> the NJFPA recognizes the legislative intent to provide</w:t>
      </w:r>
      <w:r w:rsidR="00FF42EA" w:rsidRPr="001F4773">
        <w:t xml:space="preserve"> </w:t>
      </w:r>
      <w:r w:rsidR="00DD70B1" w:rsidRPr="001F4773">
        <w:t>franchisees the</w:t>
      </w:r>
      <w:r w:rsidR="00FF42EA" w:rsidRPr="001F4773">
        <w:t xml:space="preserve"> “shelter of favorable state law</w:t>
      </w:r>
      <w:r w:rsidR="00DD70B1" w:rsidRPr="001F4773">
        <w:t>.</w:t>
      </w:r>
      <w:r w:rsidR="00FF42EA" w:rsidRPr="001F4773">
        <w:t>”</w:t>
      </w:r>
      <w:r w:rsidR="00E466B6" w:rsidRPr="001F4773">
        <w:rPr>
          <w:rStyle w:val="FootnoteReference"/>
        </w:rPr>
        <w:footnoteReference w:id="2"/>
      </w:r>
      <w:r w:rsidR="00FF42EA" w:rsidRPr="001F4773">
        <w:t xml:space="preserve"> </w:t>
      </w:r>
      <w:r w:rsidR="00164667" w:rsidRPr="001F4773">
        <w:rPr>
          <w:rFonts w:eastAsia="Times New Roman"/>
        </w:rPr>
        <w:t>The</w:t>
      </w:r>
      <w:r w:rsidRPr="001F4773">
        <w:rPr>
          <w:rFonts w:eastAsia="Times New Roman"/>
        </w:rPr>
        <w:t xml:space="preserve"> work of the Commission in this area </w:t>
      </w:r>
      <w:r w:rsidR="009F70F7">
        <w:rPr>
          <w:rFonts w:eastAsia="Times New Roman"/>
        </w:rPr>
        <w:t xml:space="preserve">is </w:t>
      </w:r>
      <w:r w:rsidRPr="001F4773">
        <w:rPr>
          <w:rFonts w:eastAsia="Times New Roman"/>
        </w:rPr>
        <w:t xml:space="preserve">focused on clarifying the Act based on case law governing </w:t>
      </w:r>
      <w:r w:rsidR="009D416F">
        <w:rPr>
          <w:rFonts w:eastAsia="Times New Roman"/>
        </w:rPr>
        <w:t>the gross sales threshold under the definition of franchise</w:t>
      </w:r>
      <w:r w:rsidRPr="001F4773">
        <w:rPr>
          <w:rFonts w:eastAsia="Times New Roman"/>
        </w:rPr>
        <w:t xml:space="preserve"> in section</w:t>
      </w:r>
      <w:r w:rsidR="009F70F7">
        <w:rPr>
          <w:rFonts w:eastAsia="Times New Roman"/>
        </w:rPr>
        <w:t xml:space="preserve"> 10-4</w:t>
      </w:r>
      <w:r w:rsidRPr="001F4773">
        <w:rPr>
          <w:rFonts w:eastAsia="Times New Roman"/>
        </w:rPr>
        <w:t xml:space="preserve">, along with provisions governing forum-selection and arbitration in section 7.3. </w:t>
      </w:r>
    </w:p>
    <w:p w14:paraId="6E36CA08" w14:textId="77777777" w:rsidR="00CA6542" w:rsidRPr="00F233DA" w:rsidRDefault="00CA6542" w:rsidP="00CA6542">
      <w:pPr>
        <w:spacing w:line="276" w:lineRule="auto"/>
        <w:ind w:firstLine="720"/>
        <w:jc w:val="both"/>
      </w:pPr>
    </w:p>
    <w:p w14:paraId="5B1A02B3" w14:textId="77777777" w:rsidR="009D416F" w:rsidRDefault="009D416F" w:rsidP="00CA6542">
      <w:pPr>
        <w:spacing w:line="276" w:lineRule="auto"/>
        <w:ind w:firstLine="720"/>
        <w:jc w:val="both"/>
      </w:pPr>
      <w:r w:rsidRPr="001F4773">
        <w:t>The F</w:t>
      </w:r>
      <w:r>
        <w:t xml:space="preserve">ederal </w:t>
      </w:r>
      <w:r w:rsidRPr="001F4773">
        <w:t>A</w:t>
      </w:r>
      <w:r>
        <w:t xml:space="preserve">rbitration </w:t>
      </w:r>
      <w:r w:rsidRPr="001F4773">
        <w:t>A</w:t>
      </w:r>
      <w:r>
        <w:t>ct (FAA)</w:t>
      </w:r>
      <w:r w:rsidRPr="001F4773">
        <w:t xml:space="preserve"> pre-empts</w:t>
      </w:r>
      <w:r>
        <w:t xml:space="preserve"> any</w:t>
      </w:r>
      <w:r w:rsidRPr="001F4773">
        <w:t xml:space="preserve"> </w:t>
      </w:r>
      <w:r>
        <w:t>state statute that “discriminates on its face against arbitration” or “covertly accomplishes the same objective by disfavoring contracts that have defining features of arbitration agreements.</w:t>
      </w:r>
      <w:r>
        <w:rPr>
          <w:rStyle w:val="FootnoteReference"/>
        </w:rPr>
        <w:footnoteReference w:id="3"/>
      </w:r>
      <w:r>
        <w:t xml:space="preserve"> </w:t>
      </w:r>
      <w:r w:rsidRPr="001F4773">
        <w:t>The United States Supreme Court, in series of decisions, has prohibited efforts by states to regulate arbitration clauses,</w:t>
      </w:r>
      <w:r w:rsidRPr="001F4773">
        <w:rPr>
          <w:rStyle w:val="FootnoteReference"/>
        </w:rPr>
        <w:footnoteReference w:id="4"/>
      </w:r>
      <w:r w:rsidRPr="001F4773">
        <w:t xml:space="preserve"> finding “that a </w:t>
      </w:r>
      <w:r w:rsidRPr="001F4773">
        <w:lastRenderedPageBreak/>
        <w:t xml:space="preserve">state statute that required judicial resolution of a </w:t>
      </w:r>
      <w:r w:rsidRPr="002F205A">
        <w:t>franchise contract, despite an arbitration clause, was inconsistent with the FAA, and therefore violated the Supremacy Clause.”</w:t>
      </w:r>
      <w:r w:rsidRPr="002F205A">
        <w:rPr>
          <w:rStyle w:val="FootnoteReference"/>
        </w:rPr>
        <w:footnoteReference w:id="5"/>
      </w:r>
      <w:r w:rsidRPr="001F4773">
        <w:t xml:space="preserve"> </w:t>
      </w:r>
    </w:p>
    <w:p w14:paraId="46F175DD" w14:textId="77777777" w:rsidR="00CA6542" w:rsidRDefault="00CA6542" w:rsidP="00CA6542">
      <w:pPr>
        <w:spacing w:line="276" w:lineRule="auto"/>
        <w:ind w:firstLine="720"/>
        <w:jc w:val="both"/>
      </w:pPr>
    </w:p>
    <w:p w14:paraId="2EBD38A9" w14:textId="427701F4" w:rsidR="001F4773" w:rsidRDefault="001F4773" w:rsidP="00CA6542">
      <w:pPr>
        <w:spacing w:line="276" w:lineRule="auto"/>
        <w:ind w:firstLine="720"/>
        <w:jc w:val="both"/>
        <w:rPr>
          <w:rStyle w:val="apple-converted-space"/>
          <w:color w:val="000000"/>
        </w:rPr>
      </w:pPr>
      <w:r w:rsidRPr="001F4773">
        <w:t>“State legislation cannot interfere with the terms found in arbitration clauses, as “the Federal Arbitration Act</w:t>
      </w:r>
      <w:r>
        <w:t xml:space="preserve"> (FAA)</w:t>
      </w:r>
      <w:r w:rsidRPr="001F4773">
        <w:t xml:space="preserve"> protect[s] the parties rights’ to arbitrate under the terms they had agreed upon, including...the choice of law applicable to the arbitration.”</w:t>
      </w:r>
      <w:r w:rsidRPr="001F4773">
        <w:rPr>
          <w:rStyle w:val="FootnoteReference"/>
        </w:rPr>
        <w:footnoteReference w:id="6"/>
      </w:r>
      <w:r w:rsidRPr="001F4773">
        <w:t xml:space="preserve"> </w:t>
      </w:r>
      <w:r w:rsidR="00D7652B" w:rsidRPr="002F205A">
        <w:rPr>
          <w:color w:val="000000"/>
        </w:rPr>
        <w:t>A court may invalidate an arbitration agreement based on “generally applicable contract defenses,” but not on legal rules that “apply only to arbitration or that derive their meaning from the fact that an agr</w:t>
      </w:r>
      <w:r w:rsidR="002F205A" w:rsidRPr="002F205A">
        <w:rPr>
          <w:color w:val="000000"/>
        </w:rPr>
        <w:t>eement to arbitrate is at issue.</w:t>
      </w:r>
      <w:r w:rsidR="00D7652B" w:rsidRPr="002F205A">
        <w:rPr>
          <w:color w:val="000000"/>
        </w:rPr>
        <w:t>”</w:t>
      </w:r>
      <w:r w:rsidR="00D7652B" w:rsidRPr="002F205A">
        <w:rPr>
          <w:rStyle w:val="apple-converted-space"/>
          <w:color w:val="000000"/>
        </w:rPr>
        <w:t> </w:t>
      </w:r>
      <w:r w:rsidR="002F205A" w:rsidRPr="002F205A">
        <w:rPr>
          <w:rStyle w:val="FootnoteReference"/>
          <w:i/>
          <w:iCs/>
          <w:color w:val="000000"/>
        </w:rPr>
        <w:footnoteReference w:id="7"/>
      </w:r>
    </w:p>
    <w:p w14:paraId="38437AEC" w14:textId="77777777" w:rsidR="00CA6542" w:rsidRPr="002F205A" w:rsidRDefault="00CA6542" w:rsidP="00CA6542">
      <w:pPr>
        <w:spacing w:line="276" w:lineRule="auto"/>
        <w:ind w:firstLine="720"/>
        <w:jc w:val="both"/>
      </w:pPr>
    </w:p>
    <w:p w14:paraId="6FEFADA8" w14:textId="4FF74320" w:rsidR="001F4773" w:rsidRDefault="00962E29" w:rsidP="00CA6542">
      <w:pPr>
        <w:spacing w:line="276" w:lineRule="auto"/>
        <w:ind w:firstLine="720"/>
        <w:jc w:val="both"/>
      </w:pPr>
      <w:r w:rsidRPr="002F205A">
        <w:t xml:space="preserve">Location-selection provisions of arbitration provisions </w:t>
      </w:r>
      <w:r w:rsidR="009D416F">
        <w:t>are also considered</w:t>
      </w:r>
      <w:r w:rsidR="008F49B1" w:rsidRPr="002F205A">
        <w:t xml:space="preserve"> a</w:t>
      </w:r>
      <w:r w:rsidR="00221081">
        <w:t xml:space="preserve"> </w:t>
      </w:r>
      <w:r w:rsidR="008F49B1" w:rsidRPr="002F205A">
        <w:t>part of the arbitration clause, and thus</w:t>
      </w:r>
      <w:r w:rsidR="009D416F">
        <w:t xml:space="preserve"> </w:t>
      </w:r>
      <w:r w:rsidRPr="002F205A">
        <w:t>“subject to the FAA</w:t>
      </w:r>
      <w:r w:rsidR="008F49B1" w:rsidRPr="002F205A">
        <w:t>.</w:t>
      </w:r>
      <w:r w:rsidR="001F4773" w:rsidRPr="002F205A">
        <w:t>”</w:t>
      </w:r>
      <w:r w:rsidRPr="002F205A">
        <w:rPr>
          <w:rStyle w:val="FootnoteReference"/>
        </w:rPr>
        <w:footnoteReference w:id="8"/>
      </w:r>
      <w:r w:rsidRPr="002F205A">
        <w:t xml:space="preserve"> </w:t>
      </w:r>
      <w:r w:rsidR="00AD7A29" w:rsidRPr="002F205A">
        <w:t xml:space="preserve">The District Court of New Jersey, in </w:t>
      </w:r>
      <w:r w:rsidR="00AD7A29" w:rsidRPr="002F205A">
        <w:rPr>
          <w:i/>
        </w:rPr>
        <w:t>Central Jersey Freightliner, Inc. v. Freightliner Corp.</w:t>
      </w:r>
      <w:r w:rsidR="00AD7A29" w:rsidRPr="002F205A">
        <w:t>, found a “clear conflict between FAA</w:t>
      </w:r>
      <w:r w:rsidR="00CC7DFD">
        <w:t xml:space="preserve"> and N.J.S. </w:t>
      </w:r>
      <w:r w:rsidR="00AD7A29" w:rsidRPr="002F205A">
        <w:t xml:space="preserve">56:10-7.3 </w:t>
      </w:r>
      <w:proofErr w:type="gramStart"/>
      <w:r w:rsidR="00AD7A29" w:rsidRPr="002F205A">
        <w:t>a(</w:t>
      </w:r>
      <w:proofErr w:type="gramEnd"/>
      <w:r w:rsidR="00AD7A29" w:rsidRPr="002F205A">
        <w:t>3).”</w:t>
      </w:r>
      <w:r w:rsidR="00AD7A29" w:rsidRPr="002F205A">
        <w:rPr>
          <w:rStyle w:val="FootnoteReference"/>
        </w:rPr>
        <w:footnoteReference w:id="9"/>
      </w:r>
      <w:r w:rsidR="00AD7A29" w:rsidRPr="002F205A">
        <w:t xml:space="preserve"> </w:t>
      </w:r>
      <w:r w:rsidR="009D416F">
        <w:t>The federal district court held that p</w:t>
      </w:r>
      <w:r w:rsidRPr="002F205A">
        <w:t xml:space="preserve">laintiffs seeking to </w:t>
      </w:r>
      <w:r w:rsidR="009D416F">
        <w:t>“</w:t>
      </w:r>
      <w:r w:rsidRPr="002F205A">
        <w:t>invalidate a location-selection provision of an arbitration clause</w:t>
      </w:r>
      <w:r w:rsidR="009D416F">
        <w:t>”</w:t>
      </w:r>
      <w:r w:rsidRPr="002F205A">
        <w:t xml:space="preserve"> may not invoke “the special burden-shifting presumption against forum-selection clauses as articulated in </w:t>
      </w:r>
      <w:proofErr w:type="spellStart"/>
      <w:proofErr w:type="gramStart"/>
      <w:r w:rsidRPr="002F205A">
        <w:rPr>
          <w:i/>
        </w:rPr>
        <w:t>Kubis</w:t>
      </w:r>
      <w:proofErr w:type="spellEnd"/>
      <w:r w:rsidRPr="002F205A">
        <w:t>,..because</w:t>
      </w:r>
      <w:proofErr w:type="gramEnd"/>
      <w:r w:rsidRPr="002F205A">
        <w:t xml:space="preserve"> that presumption in effect discriminates against arbitration clauses.”</w:t>
      </w:r>
      <w:r w:rsidRPr="002F205A">
        <w:rPr>
          <w:rStyle w:val="FootnoteReference"/>
        </w:rPr>
        <w:footnoteReference w:id="10"/>
      </w:r>
      <w:r w:rsidRPr="002F205A">
        <w:t xml:space="preserve"> </w:t>
      </w:r>
      <w:r w:rsidR="00AD7A29" w:rsidRPr="002F205A">
        <w:t>Therefore, the clause must be analyzed under general state law principles to determin</w:t>
      </w:r>
      <w:r w:rsidR="00CC7DFD">
        <w:t>e whether it is unconscionable.</w:t>
      </w:r>
      <w:r w:rsidR="00CC7DFD">
        <w:rPr>
          <w:rStyle w:val="FootnoteReference"/>
        </w:rPr>
        <w:footnoteReference w:id="11"/>
      </w:r>
    </w:p>
    <w:p w14:paraId="0FCF8F32" w14:textId="77777777" w:rsidR="00CA6542" w:rsidRPr="002F205A" w:rsidRDefault="00CA6542" w:rsidP="00CA6542">
      <w:pPr>
        <w:spacing w:line="276" w:lineRule="auto"/>
        <w:ind w:firstLine="720"/>
        <w:jc w:val="both"/>
      </w:pPr>
    </w:p>
    <w:p w14:paraId="7BDFD7D3" w14:textId="63E7B8A6" w:rsidR="0082782C" w:rsidRPr="00A83B90" w:rsidRDefault="00AD7A29" w:rsidP="00CA6542">
      <w:pPr>
        <w:spacing w:line="276" w:lineRule="auto"/>
        <w:ind w:firstLine="720"/>
        <w:jc w:val="both"/>
      </w:pPr>
      <w:r w:rsidRPr="002F205A">
        <w:t>Summarizing its analysis of the nexus between the NJFPA and the FAA</w:t>
      </w:r>
      <w:r w:rsidR="005718E3" w:rsidRPr="002F205A">
        <w:t xml:space="preserve"> laws, the </w:t>
      </w:r>
      <w:r w:rsidR="008F49B1" w:rsidRPr="002F205A">
        <w:t xml:space="preserve">federal </w:t>
      </w:r>
      <w:r w:rsidR="008F49B1" w:rsidRPr="00A83B90">
        <w:t xml:space="preserve">district court </w:t>
      </w:r>
      <w:r w:rsidRPr="00A83B90">
        <w:t>explained that “[b]</w:t>
      </w:r>
      <w:proofErr w:type="spellStart"/>
      <w:r w:rsidRPr="00A83B90">
        <w:t>ecause</w:t>
      </w:r>
      <w:proofErr w:type="spellEnd"/>
      <w:r w:rsidRPr="00A83B90">
        <w:t xml:space="preserve"> the FAA was intended to foreclose state legislative attempts to limit the enforceability of arbitration agreements, and </w:t>
      </w:r>
      <w:r w:rsidR="009F70F7" w:rsidRPr="00A83B90">
        <w:t>section</w:t>
      </w:r>
      <w:r w:rsidR="009F70F7">
        <w:t xml:space="preserve"> 56:10–7.3 </w:t>
      </w:r>
      <w:proofErr w:type="gramStart"/>
      <w:r w:rsidR="009F70F7">
        <w:t>a(</w:t>
      </w:r>
      <w:proofErr w:type="gramEnd"/>
      <w:r w:rsidR="009F70F7">
        <w:t>3</w:t>
      </w:r>
      <w:r w:rsidRPr="00A83B90">
        <w:t xml:space="preserve">) is just such an attempt, the Court held that section 56:10–7.3 a(3) of the NJFPA violates the Supremacy Clause and is preempted by the FAA.” </w:t>
      </w:r>
    </w:p>
    <w:p w14:paraId="30FBF324" w14:textId="77777777" w:rsidR="00D7652B" w:rsidRPr="00A83B90" w:rsidRDefault="00D7652B" w:rsidP="00CA6542">
      <w:pPr>
        <w:spacing w:line="276" w:lineRule="auto"/>
        <w:ind w:firstLine="720"/>
        <w:jc w:val="both"/>
      </w:pPr>
    </w:p>
    <w:p w14:paraId="68605B05" w14:textId="77777777" w:rsidR="00D7652B" w:rsidRPr="00A83B90" w:rsidRDefault="00D7652B" w:rsidP="00CA6542">
      <w:pPr>
        <w:spacing w:line="276" w:lineRule="auto"/>
        <w:ind w:firstLine="720"/>
        <w:jc w:val="center"/>
        <w:rPr>
          <w:b/>
          <w:smallCaps/>
        </w:rPr>
      </w:pPr>
      <w:r w:rsidRPr="00A83B90">
        <w:rPr>
          <w:b/>
          <w:smallCaps/>
        </w:rPr>
        <w:t>Recent Case Law</w:t>
      </w:r>
    </w:p>
    <w:p w14:paraId="4CAB72CF" w14:textId="77777777" w:rsidR="00D7652B" w:rsidRPr="00A83B90" w:rsidRDefault="00D7652B" w:rsidP="00CA6542">
      <w:pPr>
        <w:spacing w:line="276" w:lineRule="auto"/>
        <w:ind w:firstLine="720"/>
        <w:jc w:val="both"/>
      </w:pPr>
    </w:p>
    <w:p w14:paraId="72B3E546" w14:textId="0A69BB90" w:rsidR="005A6C96" w:rsidRDefault="008F49B1" w:rsidP="00CA6542">
      <w:pPr>
        <w:spacing w:line="276" w:lineRule="auto"/>
        <w:ind w:firstLine="720"/>
        <w:jc w:val="both"/>
        <w:rPr>
          <w:rFonts w:eastAsia="Times New Roman"/>
          <w:color w:val="202020"/>
          <w:spacing w:val="-3"/>
          <w:shd w:val="clear" w:color="auto" w:fill="FFFFFF"/>
        </w:rPr>
      </w:pPr>
      <w:r w:rsidRPr="00A83B90">
        <w:t>The New Jersey Supreme Court,</w:t>
      </w:r>
      <w:r w:rsidR="00D7652B" w:rsidRPr="00A83B90">
        <w:t xml:space="preserve"> decision </w:t>
      </w:r>
      <w:r w:rsidR="001F4773" w:rsidRPr="00A83B90">
        <w:t xml:space="preserve">in </w:t>
      </w:r>
      <w:proofErr w:type="spellStart"/>
      <w:r w:rsidR="00D7652B" w:rsidRPr="00A83B90">
        <w:rPr>
          <w:rStyle w:val="Emphasis"/>
          <w:rFonts w:eastAsia="Times New Roman"/>
          <w:color w:val="202020"/>
          <w:spacing w:val="-3"/>
          <w:shd w:val="clear" w:color="auto" w:fill="FFFFFF"/>
        </w:rPr>
        <w:t>Atalese</w:t>
      </w:r>
      <w:proofErr w:type="spellEnd"/>
      <w:r w:rsidR="00D7652B" w:rsidRPr="00A83B90">
        <w:rPr>
          <w:rStyle w:val="Emphasis"/>
          <w:rFonts w:eastAsia="Times New Roman"/>
          <w:color w:val="202020"/>
          <w:spacing w:val="-3"/>
          <w:shd w:val="clear" w:color="auto" w:fill="FFFFFF"/>
        </w:rPr>
        <w:t xml:space="preserve"> v. U.S. Legal Services </w:t>
      </w:r>
      <w:r w:rsidR="00D7652B" w:rsidRPr="00A83B90">
        <w:rPr>
          <w:rStyle w:val="Emphasis"/>
          <w:rFonts w:eastAsia="Times New Roman"/>
          <w:i w:val="0"/>
          <w:color w:val="202020"/>
          <w:spacing w:val="-3"/>
          <w:shd w:val="clear" w:color="auto" w:fill="FFFFFF"/>
        </w:rPr>
        <w:t>Group</w:t>
      </w:r>
      <w:r w:rsidR="00A62A62" w:rsidRPr="00A83B90">
        <w:rPr>
          <w:rStyle w:val="Emphasis"/>
          <w:rFonts w:eastAsia="Times New Roman"/>
          <w:i w:val="0"/>
          <w:color w:val="202020"/>
          <w:spacing w:val="-3"/>
          <w:shd w:val="clear" w:color="auto" w:fill="FFFFFF"/>
        </w:rPr>
        <w:t xml:space="preserve"> </w:t>
      </w:r>
      <w:r w:rsidR="00D7652B" w:rsidRPr="00A83B90">
        <w:rPr>
          <w:rFonts w:eastAsia="Times New Roman"/>
          <w:color w:val="202020"/>
          <w:spacing w:val="-3"/>
          <w:shd w:val="clear" w:color="auto" w:fill="FFFFFF"/>
        </w:rPr>
        <w:t xml:space="preserve">established a rule </w:t>
      </w:r>
      <w:r w:rsidR="00A62A62" w:rsidRPr="00A83B90">
        <w:rPr>
          <w:rFonts w:eastAsia="Times New Roman"/>
          <w:color w:val="202020"/>
          <w:spacing w:val="-3"/>
          <w:shd w:val="clear" w:color="auto" w:fill="FFFFFF"/>
        </w:rPr>
        <w:t>similar in substance to the Kentucky rule</w:t>
      </w:r>
      <w:r w:rsidR="007B1BC0">
        <w:rPr>
          <w:rFonts w:eastAsia="Times New Roman"/>
          <w:color w:val="202020"/>
          <w:spacing w:val="-3"/>
          <w:shd w:val="clear" w:color="auto" w:fill="FFFFFF"/>
        </w:rPr>
        <w:t xml:space="preserve"> considered by the U</w:t>
      </w:r>
      <w:r w:rsidR="00221081">
        <w:rPr>
          <w:rFonts w:eastAsia="Times New Roman"/>
          <w:color w:val="202020"/>
          <w:spacing w:val="-3"/>
          <w:shd w:val="clear" w:color="auto" w:fill="FFFFFF"/>
        </w:rPr>
        <w:t xml:space="preserve">nited </w:t>
      </w:r>
      <w:r w:rsidR="007B1BC0">
        <w:rPr>
          <w:rFonts w:eastAsia="Times New Roman"/>
          <w:color w:val="202020"/>
          <w:spacing w:val="-3"/>
          <w:shd w:val="clear" w:color="auto" w:fill="FFFFFF"/>
        </w:rPr>
        <w:t>S</w:t>
      </w:r>
      <w:r w:rsidR="00221081">
        <w:rPr>
          <w:rFonts w:eastAsia="Times New Roman"/>
          <w:color w:val="202020"/>
          <w:spacing w:val="-3"/>
          <w:shd w:val="clear" w:color="auto" w:fill="FFFFFF"/>
        </w:rPr>
        <w:t xml:space="preserve">tates </w:t>
      </w:r>
      <w:r w:rsidR="007B1BC0">
        <w:rPr>
          <w:rFonts w:eastAsia="Times New Roman"/>
          <w:color w:val="202020"/>
          <w:spacing w:val="-3"/>
          <w:shd w:val="clear" w:color="auto" w:fill="FFFFFF"/>
        </w:rPr>
        <w:t>Supreme Court in</w:t>
      </w:r>
      <w:r w:rsidR="007B1BC0">
        <w:rPr>
          <w:rFonts w:eastAsia="Times New Roman"/>
          <w:i/>
          <w:color w:val="202020"/>
          <w:spacing w:val="-3"/>
          <w:shd w:val="clear" w:color="auto" w:fill="FFFFFF"/>
        </w:rPr>
        <w:t xml:space="preserve"> Kindred Nursing</w:t>
      </w:r>
      <w:r w:rsidR="00A62A62" w:rsidRPr="00A83B90">
        <w:rPr>
          <w:rFonts w:eastAsia="Times New Roman"/>
          <w:color w:val="202020"/>
          <w:spacing w:val="-3"/>
          <w:shd w:val="clear" w:color="auto" w:fill="FFFFFF"/>
        </w:rPr>
        <w:t>.</w:t>
      </w:r>
      <w:r w:rsidR="00A62A62" w:rsidRPr="00A83B90">
        <w:rPr>
          <w:rStyle w:val="FootnoteReference"/>
          <w:rFonts w:eastAsia="Times New Roman"/>
          <w:color w:val="202020"/>
          <w:spacing w:val="-3"/>
          <w:shd w:val="clear" w:color="auto" w:fill="FFFFFF"/>
        </w:rPr>
        <w:footnoteReference w:id="12"/>
      </w:r>
      <w:r w:rsidR="00D7652B" w:rsidRPr="00A83B90">
        <w:rPr>
          <w:rFonts w:eastAsia="Times New Roman"/>
          <w:color w:val="202020"/>
          <w:spacing w:val="-3"/>
          <w:shd w:val="clear" w:color="auto" w:fill="FFFFFF"/>
        </w:rPr>
        <w:t xml:space="preserve"> </w:t>
      </w:r>
      <w:r w:rsidR="003749A2">
        <w:rPr>
          <w:rFonts w:eastAsia="Times New Roman"/>
          <w:color w:val="202020"/>
          <w:spacing w:val="-3"/>
          <w:shd w:val="clear" w:color="auto" w:fill="FFFFFF"/>
        </w:rPr>
        <w:t xml:space="preserve">The two rulings differ, </w:t>
      </w:r>
      <w:r w:rsidR="002B2CEB">
        <w:rPr>
          <w:rFonts w:eastAsia="Times New Roman"/>
          <w:color w:val="202020"/>
          <w:spacing w:val="-3"/>
          <w:shd w:val="clear" w:color="auto" w:fill="FFFFFF"/>
        </w:rPr>
        <w:t xml:space="preserve">however, </w:t>
      </w:r>
      <w:r w:rsidR="003749A2">
        <w:rPr>
          <w:rFonts w:eastAsia="Times New Roman"/>
          <w:color w:val="202020"/>
          <w:spacing w:val="-3"/>
          <w:shd w:val="clear" w:color="auto" w:fill="FFFFFF"/>
        </w:rPr>
        <w:t>in scope</w:t>
      </w:r>
      <w:r w:rsidR="002B2CEB">
        <w:rPr>
          <w:rFonts w:eastAsia="Times New Roman"/>
          <w:color w:val="202020"/>
          <w:spacing w:val="-3"/>
          <w:shd w:val="clear" w:color="auto" w:fill="FFFFFF"/>
        </w:rPr>
        <w:t xml:space="preserve"> with the </w:t>
      </w:r>
      <w:r w:rsidR="002F205A" w:rsidRPr="00A83B90">
        <w:rPr>
          <w:rFonts w:eastAsia="Times New Roman"/>
          <w:color w:val="202020"/>
          <w:spacing w:val="-3"/>
          <w:shd w:val="clear" w:color="auto" w:fill="FFFFFF"/>
        </w:rPr>
        <w:t xml:space="preserve">New </w:t>
      </w:r>
      <w:r w:rsidR="002B2CEB">
        <w:rPr>
          <w:rFonts w:eastAsia="Times New Roman"/>
          <w:color w:val="202020"/>
          <w:spacing w:val="-3"/>
          <w:shd w:val="clear" w:color="auto" w:fill="FFFFFF"/>
        </w:rPr>
        <w:t>Jersey decision limited only to</w:t>
      </w:r>
      <w:r w:rsidR="002F205A" w:rsidRPr="00A83B90">
        <w:rPr>
          <w:rFonts w:eastAsia="Times New Roman"/>
          <w:color w:val="202020"/>
          <w:spacing w:val="-3"/>
          <w:shd w:val="clear" w:color="auto" w:fill="FFFFFF"/>
        </w:rPr>
        <w:t xml:space="preserve"> em</w:t>
      </w:r>
      <w:r w:rsidR="00C90766">
        <w:rPr>
          <w:rFonts w:eastAsia="Times New Roman"/>
          <w:color w:val="202020"/>
          <w:spacing w:val="-3"/>
          <w:shd w:val="clear" w:color="auto" w:fill="FFFFFF"/>
        </w:rPr>
        <w:t>ployment and consumer contracts</w:t>
      </w:r>
      <w:r w:rsidR="009D416F">
        <w:rPr>
          <w:rFonts w:eastAsia="Times New Roman"/>
          <w:color w:val="202020"/>
          <w:spacing w:val="-3"/>
          <w:shd w:val="clear" w:color="auto" w:fill="FFFFFF"/>
        </w:rPr>
        <w:t>, and the broader</w:t>
      </w:r>
      <w:r w:rsidR="002B2CEB" w:rsidRPr="00A83B90">
        <w:rPr>
          <w:rFonts w:eastAsia="Times New Roman"/>
          <w:color w:val="202020"/>
          <w:spacing w:val="-3"/>
          <w:shd w:val="clear" w:color="auto" w:fill="FFFFFF"/>
        </w:rPr>
        <w:t xml:space="preserve"> Kentucky rule applying to all contracts</w:t>
      </w:r>
      <w:r w:rsidR="002F205A" w:rsidRPr="00A83B90">
        <w:rPr>
          <w:rFonts w:eastAsia="Times New Roman"/>
          <w:color w:val="202020"/>
          <w:spacing w:val="-3"/>
          <w:shd w:val="clear" w:color="auto" w:fill="FFFFFF"/>
        </w:rPr>
        <w:t>.</w:t>
      </w:r>
    </w:p>
    <w:p w14:paraId="0D0DDD17" w14:textId="1E2B3916" w:rsidR="002F205A" w:rsidRDefault="0001465E" w:rsidP="00CA6542">
      <w:pPr>
        <w:spacing w:line="276" w:lineRule="auto"/>
        <w:ind w:firstLine="720"/>
        <w:jc w:val="both"/>
        <w:rPr>
          <w:rFonts w:eastAsia="Times New Roman"/>
          <w:color w:val="333333"/>
          <w:shd w:val="clear" w:color="auto" w:fill="FFFFFF"/>
        </w:rPr>
      </w:pPr>
      <w:r>
        <w:rPr>
          <w:rFonts w:eastAsia="Times New Roman"/>
          <w:color w:val="202020"/>
          <w:spacing w:val="-3"/>
          <w:shd w:val="clear" w:color="auto" w:fill="FFFFFF"/>
        </w:rPr>
        <w:lastRenderedPageBreak/>
        <w:t xml:space="preserve">The </w:t>
      </w:r>
      <w:r w:rsidR="006F3D3C">
        <w:rPr>
          <w:rFonts w:eastAsia="Times New Roman"/>
          <w:color w:val="202020"/>
          <w:spacing w:val="-3"/>
          <w:shd w:val="clear" w:color="auto" w:fill="FFFFFF"/>
        </w:rPr>
        <w:t xml:space="preserve">Kentucky </w:t>
      </w:r>
      <w:r>
        <w:rPr>
          <w:rFonts w:eastAsia="Times New Roman"/>
          <w:color w:val="202020"/>
          <w:spacing w:val="-3"/>
          <w:shd w:val="clear" w:color="auto" w:fill="FFFFFF"/>
        </w:rPr>
        <w:t>ruling arose from</w:t>
      </w:r>
      <w:r w:rsidR="004600C5">
        <w:rPr>
          <w:rFonts w:eastAsia="Times New Roman"/>
          <w:color w:val="202020"/>
          <w:spacing w:val="-3"/>
          <w:shd w:val="clear" w:color="auto" w:fill="FFFFFF"/>
        </w:rPr>
        <w:t xml:space="preserve"> a claim filed by</w:t>
      </w:r>
      <w:r w:rsidR="002F205A" w:rsidRPr="00A83B90">
        <w:rPr>
          <w:rFonts w:eastAsia="Times New Roman"/>
          <w:color w:val="202020"/>
          <w:spacing w:val="-3"/>
          <w:shd w:val="clear" w:color="auto" w:fill="FFFFFF"/>
        </w:rPr>
        <w:t xml:space="preserve"> </w:t>
      </w:r>
      <w:r w:rsidR="004600C5">
        <w:rPr>
          <w:rFonts w:eastAsia="Times New Roman"/>
          <w:color w:val="202020"/>
          <w:spacing w:val="-3"/>
          <w:shd w:val="clear" w:color="auto" w:fill="FFFFFF"/>
        </w:rPr>
        <w:t>two plaintiffs,</w:t>
      </w:r>
      <w:r w:rsidR="002F205A" w:rsidRPr="00A83B90">
        <w:rPr>
          <w:rFonts w:eastAsia="Times New Roman"/>
          <w:color w:val="202020"/>
          <w:spacing w:val="-3"/>
          <w:shd w:val="clear" w:color="auto" w:fill="FFFFFF"/>
        </w:rPr>
        <w:t xml:space="preserve"> each relatives of patients in a long-term care facility, </w:t>
      </w:r>
      <w:r w:rsidR="006F3D3C">
        <w:rPr>
          <w:rFonts w:eastAsia="Times New Roman"/>
          <w:color w:val="202020"/>
          <w:spacing w:val="-3"/>
          <w:shd w:val="clear" w:color="auto" w:fill="FFFFFF"/>
        </w:rPr>
        <w:t xml:space="preserve">who </w:t>
      </w:r>
      <w:r w:rsidR="002F205A" w:rsidRPr="00A83B90">
        <w:rPr>
          <w:rFonts w:eastAsia="Times New Roman"/>
          <w:color w:val="202020"/>
          <w:spacing w:val="-3"/>
          <w:shd w:val="clear" w:color="auto" w:fill="FFFFFF"/>
        </w:rPr>
        <w:t>signed separate arbitration agreements providing that any claims arising from their relative’s care at the facility would be resolved through binding arbitration.</w:t>
      </w:r>
      <w:r w:rsidR="00176578">
        <w:rPr>
          <w:rStyle w:val="FootnoteReference"/>
          <w:rFonts w:eastAsia="Times New Roman"/>
          <w:color w:val="202020"/>
          <w:spacing w:val="-3"/>
          <w:shd w:val="clear" w:color="auto" w:fill="FFFFFF"/>
        </w:rPr>
        <w:footnoteReference w:id="13"/>
      </w:r>
      <w:r w:rsidR="002F205A" w:rsidRPr="00A83B90">
        <w:rPr>
          <w:rFonts w:eastAsia="Times New Roman"/>
          <w:color w:val="202020"/>
          <w:spacing w:val="-3"/>
          <w:shd w:val="clear" w:color="auto" w:fill="FFFFFF"/>
        </w:rPr>
        <w:t xml:space="preserve"> Following the death of </w:t>
      </w:r>
      <w:r w:rsidR="00571D7D">
        <w:rPr>
          <w:rFonts w:eastAsia="Times New Roman"/>
          <w:color w:val="202020"/>
          <w:spacing w:val="-3"/>
          <w:shd w:val="clear" w:color="auto" w:fill="FFFFFF"/>
        </w:rPr>
        <w:t>the patients,</w:t>
      </w:r>
      <w:r w:rsidR="002F205A" w:rsidRPr="00A83B90">
        <w:rPr>
          <w:rFonts w:eastAsia="Times New Roman"/>
          <w:color w:val="202020"/>
          <w:spacing w:val="-3"/>
          <w:shd w:val="clear" w:color="auto" w:fill="FFFFFF"/>
        </w:rPr>
        <w:t xml:space="preserve"> the estates filed suit alleging that the deaths resulted from the substandard care they received at the facility.</w:t>
      </w:r>
      <w:r w:rsidR="00465453">
        <w:rPr>
          <w:rStyle w:val="FootnoteReference"/>
          <w:rFonts w:eastAsia="Times New Roman"/>
          <w:color w:val="202020"/>
          <w:spacing w:val="-3"/>
          <w:shd w:val="clear" w:color="auto" w:fill="FFFFFF"/>
        </w:rPr>
        <w:footnoteReference w:id="14"/>
      </w:r>
      <w:r w:rsidR="002F205A" w:rsidRPr="00A83B90">
        <w:rPr>
          <w:rFonts w:eastAsia="Times New Roman"/>
          <w:color w:val="202020"/>
          <w:spacing w:val="-3"/>
          <w:shd w:val="clear" w:color="auto" w:fill="FFFFFF"/>
        </w:rPr>
        <w:t xml:space="preserve"> The Kentucky Supreme Court consolidated the claims and allowed the estates to proceed in a court of law.</w:t>
      </w:r>
      <w:r w:rsidR="00465453">
        <w:rPr>
          <w:rStyle w:val="FootnoteReference"/>
          <w:rFonts w:eastAsia="Times New Roman"/>
          <w:color w:val="202020"/>
          <w:spacing w:val="-3"/>
          <w:shd w:val="clear" w:color="auto" w:fill="FFFFFF"/>
        </w:rPr>
        <w:footnoteReference w:id="15"/>
      </w:r>
      <w:r w:rsidR="002F205A" w:rsidRPr="00A83B90">
        <w:rPr>
          <w:rFonts w:eastAsia="Times New Roman"/>
          <w:color w:val="202020"/>
          <w:spacing w:val="-3"/>
          <w:shd w:val="clear" w:color="auto" w:fill="FFFFFF"/>
        </w:rPr>
        <w:t xml:space="preserve"> The Kentucky Court ruled that an agent may</w:t>
      </w:r>
      <w:r w:rsidR="00FC2AE5" w:rsidRPr="00A83B90">
        <w:rPr>
          <w:rFonts w:eastAsia="Times New Roman"/>
          <w:color w:val="202020"/>
          <w:spacing w:val="-3"/>
          <w:shd w:val="clear" w:color="auto" w:fill="FFFFFF"/>
        </w:rPr>
        <w:t xml:space="preserve"> “waive the ‘divine God-given right’ to a jury trial,</w:t>
      </w:r>
      <w:r w:rsidR="002F205A" w:rsidRPr="00A83B90">
        <w:rPr>
          <w:rFonts w:eastAsia="Times New Roman"/>
          <w:color w:val="202020"/>
          <w:spacing w:val="-3"/>
          <w:shd w:val="clear" w:color="auto" w:fill="FFFFFF"/>
        </w:rPr>
        <w:t xml:space="preserve">” only if </w:t>
      </w:r>
      <w:proofErr w:type="gramStart"/>
      <w:r w:rsidR="00CB27C5">
        <w:rPr>
          <w:rFonts w:eastAsia="Times New Roman"/>
          <w:color w:val="202020"/>
          <w:spacing w:val="-3"/>
          <w:shd w:val="clear" w:color="auto" w:fill="FFFFFF"/>
        </w:rPr>
        <w:t xml:space="preserve">“ </w:t>
      </w:r>
      <w:r w:rsidR="00FC2AE5" w:rsidRPr="00A83B90">
        <w:rPr>
          <w:rFonts w:eastAsia="Times New Roman"/>
          <w:color w:val="202020"/>
          <w:spacing w:val="-3"/>
          <w:shd w:val="clear" w:color="auto" w:fill="FFFFFF"/>
        </w:rPr>
        <w:t>‘an</w:t>
      </w:r>
      <w:proofErr w:type="gramEnd"/>
      <w:r w:rsidR="00FC2AE5" w:rsidRPr="00A83B90">
        <w:rPr>
          <w:rFonts w:eastAsia="Times New Roman"/>
          <w:color w:val="202020"/>
          <w:spacing w:val="-3"/>
          <w:shd w:val="clear" w:color="auto" w:fill="FFFFFF"/>
        </w:rPr>
        <w:t xml:space="preserve"> explicit statement before an attorney-in-fact</w:t>
      </w:r>
      <w:r w:rsidR="00F233DA" w:rsidRPr="00A83B90">
        <w:rPr>
          <w:rFonts w:eastAsia="Times New Roman"/>
          <w:color w:val="202020"/>
          <w:spacing w:val="-3"/>
          <w:shd w:val="clear" w:color="auto" w:fill="FFFFFF"/>
        </w:rPr>
        <w:t xml:space="preserve">’ </w:t>
      </w:r>
      <w:r w:rsidR="00FC2AE5" w:rsidRPr="00A83B90">
        <w:rPr>
          <w:rFonts w:eastAsia="Times New Roman"/>
          <w:color w:val="202020"/>
          <w:spacing w:val="-3"/>
          <w:shd w:val="clear" w:color="auto" w:fill="FFFFFF"/>
        </w:rPr>
        <w:t>”</w:t>
      </w:r>
      <w:r w:rsidR="002F205A" w:rsidRPr="00A83B90">
        <w:rPr>
          <w:rFonts w:eastAsia="Times New Roman"/>
          <w:color w:val="202020"/>
          <w:spacing w:val="-3"/>
          <w:shd w:val="clear" w:color="auto" w:fill="FFFFFF"/>
        </w:rPr>
        <w:t xml:space="preserve"> is provided</w:t>
      </w:r>
      <w:r w:rsidR="00F233DA" w:rsidRPr="00A83B90">
        <w:rPr>
          <w:rFonts w:eastAsia="Times New Roman"/>
          <w:color w:val="202020"/>
          <w:spacing w:val="-3"/>
          <w:shd w:val="clear" w:color="auto" w:fill="FFFFFF"/>
        </w:rPr>
        <w:t>.</w:t>
      </w:r>
      <w:r w:rsidR="00D7652B" w:rsidRPr="00A83B90">
        <w:rPr>
          <w:rFonts w:eastAsia="Times New Roman"/>
          <w:color w:val="333333"/>
          <w:shd w:val="clear" w:color="auto" w:fill="FFFFFF"/>
        </w:rPr>
        <w:t xml:space="preserve"> </w:t>
      </w:r>
    </w:p>
    <w:p w14:paraId="28B53460" w14:textId="77777777" w:rsidR="00CA6542" w:rsidRPr="00A83B90" w:rsidRDefault="00CA6542" w:rsidP="00CA6542">
      <w:pPr>
        <w:spacing w:line="276" w:lineRule="auto"/>
        <w:ind w:firstLine="720"/>
        <w:jc w:val="both"/>
        <w:rPr>
          <w:rFonts w:eastAsia="Times New Roman"/>
          <w:color w:val="333333"/>
          <w:shd w:val="clear" w:color="auto" w:fill="FFFFFF"/>
        </w:rPr>
      </w:pPr>
    </w:p>
    <w:p w14:paraId="08244087" w14:textId="457DF64C" w:rsidR="002F205A" w:rsidRDefault="002F205A" w:rsidP="00CA6542">
      <w:pPr>
        <w:spacing w:line="276" w:lineRule="auto"/>
        <w:ind w:firstLine="720"/>
        <w:jc w:val="both"/>
        <w:rPr>
          <w:rFonts w:eastAsia="Times New Roman"/>
          <w:color w:val="202020"/>
          <w:spacing w:val="-3"/>
          <w:shd w:val="clear" w:color="auto" w:fill="FFFFFF"/>
        </w:rPr>
      </w:pPr>
      <w:r w:rsidRPr="00A83B90">
        <w:rPr>
          <w:rFonts w:eastAsia="Times New Roman"/>
          <w:color w:val="333333"/>
          <w:shd w:val="clear" w:color="auto" w:fill="FFFFFF"/>
        </w:rPr>
        <w:t>On the other hand, t</w:t>
      </w:r>
      <w:r w:rsidR="00D7652B" w:rsidRPr="00A83B90">
        <w:rPr>
          <w:rFonts w:eastAsia="Times New Roman"/>
          <w:color w:val="202020"/>
          <w:spacing w:val="-3"/>
          <w:shd w:val="clear" w:color="auto" w:fill="FFFFFF"/>
        </w:rPr>
        <w:t xml:space="preserve">he </w:t>
      </w:r>
      <w:r w:rsidR="00FC2AE5" w:rsidRPr="00A83B90">
        <w:rPr>
          <w:rFonts w:eastAsia="Times New Roman"/>
          <w:color w:val="202020"/>
          <w:spacing w:val="-3"/>
          <w:shd w:val="clear" w:color="auto" w:fill="FFFFFF"/>
        </w:rPr>
        <w:t xml:space="preserve">New Jersey Supreme </w:t>
      </w:r>
      <w:r w:rsidR="00D7652B" w:rsidRPr="00A83B90">
        <w:rPr>
          <w:rFonts w:eastAsia="Times New Roman"/>
          <w:color w:val="202020"/>
          <w:spacing w:val="-3"/>
          <w:shd w:val="clear" w:color="auto" w:fill="FFFFFF"/>
        </w:rPr>
        <w:t>Court</w:t>
      </w:r>
      <w:r w:rsidR="00FC2AE5" w:rsidRPr="00A83B90">
        <w:rPr>
          <w:rFonts w:eastAsia="Times New Roman"/>
          <w:color w:val="202020"/>
          <w:spacing w:val="-3"/>
          <w:shd w:val="clear" w:color="auto" w:fill="FFFFFF"/>
        </w:rPr>
        <w:t xml:space="preserve"> </w:t>
      </w:r>
      <w:r w:rsidRPr="00A83B90">
        <w:rPr>
          <w:rFonts w:eastAsia="Times New Roman"/>
          <w:color w:val="202020"/>
          <w:spacing w:val="-3"/>
          <w:shd w:val="clear" w:color="auto" w:fill="FFFFFF"/>
        </w:rPr>
        <w:t>ruled</w:t>
      </w:r>
      <w:r w:rsidR="00A62A62" w:rsidRPr="00A83B90">
        <w:rPr>
          <w:rFonts w:eastAsia="Times New Roman"/>
          <w:color w:val="202020"/>
          <w:spacing w:val="-3"/>
          <w:shd w:val="clear" w:color="auto" w:fill="FFFFFF"/>
        </w:rPr>
        <w:t xml:space="preserve"> </w:t>
      </w:r>
      <w:r w:rsidR="00FC2AE5" w:rsidRPr="00A83B90">
        <w:rPr>
          <w:rFonts w:eastAsia="Times New Roman"/>
          <w:color w:val="202020"/>
          <w:spacing w:val="-3"/>
          <w:shd w:val="clear" w:color="auto" w:fill="FFFFFF"/>
        </w:rPr>
        <w:t xml:space="preserve">that </w:t>
      </w:r>
      <w:r w:rsidR="00D7652B" w:rsidRPr="00A83B90">
        <w:rPr>
          <w:rFonts w:eastAsia="Times New Roman"/>
          <w:color w:val="202020"/>
          <w:spacing w:val="-3"/>
          <w:shd w:val="clear" w:color="auto" w:fill="FFFFFF"/>
        </w:rPr>
        <w:t>arbitration provisions</w:t>
      </w:r>
      <w:r w:rsidRPr="00A83B90">
        <w:rPr>
          <w:rFonts w:eastAsia="Times New Roman"/>
          <w:color w:val="202020"/>
          <w:spacing w:val="-3"/>
          <w:shd w:val="clear" w:color="auto" w:fill="FFFFFF"/>
        </w:rPr>
        <w:t>, in employment and consumer contracts,</w:t>
      </w:r>
      <w:r w:rsidR="00D7652B" w:rsidRPr="00A83B90">
        <w:rPr>
          <w:rFonts w:eastAsia="Times New Roman"/>
          <w:color w:val="202020"/>
          <w:spacing w:val="-3"/>
          <w:shd w:val="clear" w:color="auto" w:fill="FFFFFF"/>
        </w:rPr>
        <w:t xml:space="preserve"> are not enforceable unless the contract clause expressly provides in clear and unambiguous terms that disputes will be resolved through arbitration instead of a court of law.</w:t>
      </w:r>
      <w:r w:rsidR="009D416F">
        <w:rPr>
          <w:rStyle w:val="FootnoteReference"/>
          <w:rFonts w:eastAsia="Times New Roman"/>
          <w:color w:val="202020"/>
          <w:spacing w:val="-3"/>
          <w:shd w:val="clear" w:color="auto" w:fill="FFFFFF"/>
        </w:rPr>
        <w:footnoteReference w:id="16"/>
      </w:r>
      <w:r w:rsidR="00D7652B" w:rsidRPr="00A83B90">
        <w:rPr>
          <w:rFonts w:eastAsia="Times New Roman"/>
          <w:color w:val="202020"/>
          <w:spacing w:val="-3"/>
          <w:shd w:val="clear" w:color="auto" w:fill="FFFFFF"/>
        </w:rPr>
        <w:t xml:space="preserve"> </w:t>
      </w:r>
    </w:p>
    <w:p w14:paraId="4AA71E17" w14:textId="77777777" w:rsidR="00CA6542" w:rsidRPr="00A83B90" w:rsidRDefault="00CA6542" w:rsidP="00CA6542">
      <w:pPr>
        <w:spacing w:line="276" w:lineRule="auto"/>
        <w:ind w:firstLine="720"/>
        <w:jc w:val="both"/>
        <w:rPr>
          <w:rFonts w:eastAsia="Times New Roman"/>
          <w:color w:val="202020"/>
          <w:spacing w:val="-3"/>
          <w:shd w:val="clear" w:color="auto" w:fill="FFFFFF"/>
        </w:rPr>
      </w:pPr>
    </w:p>
    <w:p w14:paraId="083590F0" w14:textId="548BC3D1" w:rsidR="0012514B" w:rsidRDefault="00D7652B" w:rsidP="00CA6542">
      <w:pPr>
        <w:spacing w:line="276" w:lineRule="auto"/>
        <w:ind w:firstLine="720"/>
        <w:jc w:val="both"/>
        <w:rPr>
          <w:rFonts w:eastAsia="Times New Roman"/>
          <w:color w:val="333333"/>
          <w:shd w:val="clear" w:color="auto" w:fill="FFFFFF"/>
        </w:rPr>
      </w:pPr>
      <w:r w:rsidRPr="00A83B90">
        <w:rPr>
          <w:rFonts w:eastAsia="Times New Roman"/>
          <w:color w:val="202020"/>
          <w:spacing w:val="-3"/>
          <w:shd w:val="clear" w:color="auto" w:fill="FFFFFF"/>
        </w:rPr>
        <w:t xml:space="preserve">While </w:t>
      </w:r>
      <w:r w:rsidR="00F233DA" w:rsidRPr="00A83B90">
        <w:rPr>
          <w:rFonts w:eastAsia="Times New Roman"/>
          <w:color w:val="202020"/>
          <w:spacing w:val="-3"/>
          <w:shd w:val="clear" w:color="auto" w:fill="FFFFFF"/>
        </w:rPr>
        <w:t>the New Jersey decision</w:t>
      </w:r>
      <w:r w:rsidRPr="00A83B90">
        <w:rPr>
          <w:rFonts w:eastAsia="Times New Roman"/>
          <w:color w:val="202020"/>
          <w:spacing w:val="-3"/>
          <w:shd w:val="clear" w:color="auto" w:fill="FFFFFF"/>
        </w:rPr>
        <w:t xml:space="preserve"> has not come under review</w:t>
      </w:r>
      <w:r w:rsidRPr="00A83B90">
        <w:rPr>
          <w:rFonts w:eastAsia="Times New Roman"/>
          <w:color w:val="333333"/>
          <w:shd w:val="clear" w:color="auto" w:fill="FFFFFF"/>
        </w:rPr>
        <w:t xml:space="preserve">, the </w:t>
      </w:r>
      <w:r w:rsidR="00F233DA" w:rsidRPr="00A83B90">
        <w:rPr>
          <w:rFonts w:eastAsia="Times New Roman"/>
          <w:color w:val="333333"/>
          <w:shd w:val="clear" w:color="auto" w:fill="FFFFFF"/>
        </w:rPr>
        <w:t>U</w:t>
      </w:r>
      <w:r w:rsidR="00D562F2">
        <w:rPr>
          <w:rFonts w:eastAsia="Times New Roman"/>
          <w:color w:val="333333"/>
          <w:shd w:val="clear" w:color="auto" w:fill="FFFFFF"/>
        </w:rPr>
        <w:t xml:space="preserve">nited </w:t>
      </w:r>
      <w:r w:rsidR="00F233DA" w:rsidRPr="00A83B90">
        <w:rPr>
          <w:rFonts w:eastAsia="Times New Roman"/>
          <w:color w:val="333333"/>
          <w:shd w:val="clear" w:color="auto" w:fill="FFFFFF"/>
        </w:rPr>
        <w:t>S</w:t>
      </w:r>
      <w:r w:rsidR="00D562F2">
        <w:rPr>
          <w:rFonts w:eastAsia="Times New Roman"/>
          <w:color w:val="333333"/>
          <w:shd w:val="clear" w:color="auto" w:fill="FFFFFF"/>
        </w:rPr>
        <w:t>tates</w:t>
      </w:r>
      <w:r w:rsidR="00F233DA" w:rsidRPr="00A83B90">
        <w:rPr>
          <w:rFonts w:eastAsia="Times New Roman"/>
          <w:color w:val="333333"/>
          <w:shd w:val="clear" w:color="auto" w:fill="FFFFFF"/>
        </w:rPr>
        <w:t xml:space="preserve"> </w:t>
      </w:r>
      <w:r w:rsidRPr="00A83B90">
        <w:rPr>
          <w:rFonts w:eastAsia="Times New Roman"/>
          <w:color w:val="333333"/>
          <w:shd w:val="clear" w:color="auto" w:fill="FFFFFF"/>
        </w:rPr>
        <w:t xml:space="preserve">Supreme Court </w:t>
      </w:r>
      <w:r w:rsidR="00EB0A4F" w:rsidRPr="00A83B90">
        <w:rPr>
          <w:rFonts w:eastAsia="Times New Roman"/>
          <w:color w:val="333333"/>
          <w:shd w:val="clear" w:color="auto" w:fill="FFFFFF"/>
        </w:rPr>
        <w:t xml:space="preserve">decision </w:t>
      </w:r>
      <w:r w:rsidR="00A83B90" w:rsidRPr="00A83B90">
        <w:rPr>
          <w:rFonts w:eastAsia="Times New Roman"/>
          <w:color w:val="333333"/>
          <w:shd w:val="clear" w:color="auto" w:fill="FFFFFF"/>
        </w:rPr>
        <w:t>concerning the Kentucky rule implicates the New Jersey ruling</w:t>
      </w:r>
      <w:r w:rsidR="0012514B">
        <w:rPr>
          <w:rFonts w:eastAsia="Times New Roman"/>
          <w:color w:val="333333"/>
          <w:shd w:val="clear" w:color="auto" w:fill="FFFFFF"/>
        </w:rPr>
        <w:t xml:space="preserve">, holding that </w:t>
      </w:r>
      <w:r w:rsidRPr="00A83B90">
        <w:rPr>
          <w:rFonts w:eastAsia="Times New Roman"/>
          <w:color w:val="333333"/>
          <w:shd w:val="clear" w:color="auto" w:fill="FFFFFF"/>
        </w:rPr>
        <w:t xml:space="preserve">the Kentucky </w:t>
      </w:r>
      <w:r w:rsidR="00F233DA" w:rsidRPr="00A83B90">
        <w:rPr>
          <w:rFonts w:eastAsia="Times New Roman"/>
          <w:color w:val="333333"/>
          <w:shd w:val="clear" w:color="auto" w:fill="FFFFFF"/>
        </w:rPr>
        <w:t>rule</w:t>
      </w:r>
      <w:r w:rsidRPr="00A83B90">
        <w:rPr>
          <w:rFonts w:eastAsia="Times New Roman"/>
          <w:color w:val="333333"/>
          <w:shd w:val="clear" w:color="auto" w:fill="FFFFFF"/>
        </w:rPr>
        <w:t xml:space="preserve"> </w:t>
      </w:r>
      <w:r w:rsidR="00F233DA" w:rsidRPr="00A83B90">
        <w:rPr>
          <w:rFonts w:eastAsia="Times New Roman"/>
          <w:color w:val="333333"/>
          <w:shd w:val="clear" w:color="auto" w:fill="FFFFFF"/>
        </w:rPr>
        <w:t>fails to place arbitration agreements on an equal plane with other contracts.</w:t>
      </w:r>
      <w:r w:rsidR="009D416F">
        <w:rPr>
          <w:rStyle w:val="FootnoteReference"/>
          <w:rFonts w:eastAsia="Times New Roman"/>
          <w:color w:val="333333"/>
          <w:shd w:val="clear" w:color="auto" w:fill="FFFFFF"/>
        </w:rPr>
        <w:footnoteReference w:id="17"/>
      </w:r>
      <w:r w:rsidR="00F233DA" w:rsidRPr="00A83B90">
        <w:rPr>
          <w:rFonts w:eastAsia="Times New Roman"/>
          <w:color w:val="333333"/>
          <w:shd w:val="clear" w:color="auto" w:fill="FFFFFF"/>
        </w:rPr>
        <w:t xml:space="preserve"> </w:t>
      </w:r>
      <w:r w:rsidR="0012514B">
        <w:rPr>
          <w:rFonts w:eastAsia="Times New Roman"/>
          <w:color w:val="333333"/>
          <w:shd w:val="clear" w:color="auto" w:fill="FFFFFF"/>
        </w:rPr>
        <w:t>Moreover, the</w:t>
      </w:r>
      <w:r w:rsidRPr="00A83B90">
        <w:rPr>
          <w:rFonts w:eastAsia="Times New Roman"/>
          <w:color w:val="333333"/>
          <w:shd w:val="clear" w:color="auto" w:fill="FFFFFF"/>
        </w:rPr>
        <w:t xml:space="preserve"> state court “adopt[</w:t>
      </w:r>
      <w:proofErr w:type="spellStart"/>
      <w:r w:rsidRPr="00A83B90">
        <w:rPr>
          <w:rFonts w:eastAsia="Times New Roman"/>
          <w:color w:val="333333"/>
          <w:shd w:val="clear" w:color="auto" w:fill="FFFFFF"/>
        </w:rPr>
        <w:t>ed</w:t>
      </w:r>
      <w:proofErr w:type="spellEnd"/>
      <w:r w:rsidRPr="00A83B90">
        <w:rPr>
          <w:rFonts w:eastAsia="Times New Roman"/>
          <w:color w:val="333333"/>
          <w:shd w:val="clear" w:color="auto" w:fill="FFFFFF"/>
        </w:rPr>
        <w:t>] a legal rule hinging on the primary characteristic of an arbitration agreement—namely, a waiver of the right to go to</w:t>
      </w:r>
      <w:r w:rsidR="0012514B">
        <w:rPr>
          <w:rFonts w:eastAsia="Times New Roman"/>
          <w:color w:val="333333"/>
          <w:shd w:val="clear" w:color="auto" w:fill="FFFFFF"/>
        </w:rPr>
        <w:t xml:space="preserve"> court and receive a jury trial.”</w:t>
      </w:r>
      <w:r w:rsidR="009D416F">
        <w:rPr>
          <w:rStyle w:val="FootnoteReference"/>
          <w:rFonts w:eastAsia="Times New Roman"/>
          <w:color w:val="333333"/>
          <w:shd w:val="clear" w:color="auto" w:fill="FFFFFF"/>
        </w:rPr>
        <w:footnoteReference w:id="18"/>
      </w:r>
    </w:p>
    <w:p w14:paraId="083A42AF" w14:textId="77777777" w:rsidR="00CA6542" w:rsidRDefault="00CA6542" w:rsidP="00CA6542">
      <w:pPr>
        <w:spacing w:line="276" w:lineRule="auto"/>
        <w:ind w:firstLine="720"/>
        <w:jc w:val="both"/>
        <w:rPr>
          <w:rFonts w:eastAsia="Times New Roman"/>
          <w:color w:val="333333"/>
          <w:shd w:val="clear" w:color="auto" w:fill="FFFFFF"/>
        </w:rPr>
      </w:pPr>
    </w:p>
    <w:p w14:paraId="3514A4F7" w14:textId="3AF87BD3" w:rsidR="005718E3" w:rsidRPr="00A83B90" w:rsidRDefault="00F233DA" w:rsidP="00CA6542">
      <w:pPr>
        <w:spacing w:line="276" w:lineRule="auto"/>
        <w:jc w:val="both"/>
        <w:rPr>
          <w:rFonts w:eastAsia="Times New Roman"/>
          <w:color w:val="333333"/>
          <w:shd w:val="clear" w:color="auto" w:fill="FFFFFF"/>
        </w:rPr>
      </w:pPr>
      <w:r w:rsidRPr="00A83B90">
        <w:rPr>
          <w:rFonts w:eastAsia="Times New Roman"/>
          <w:color w:val="333333"/>
          <w:shd w:val="clear" w:color="auto" w:fill="FFFFFF"/>
        </w:rPr>
        <w:tab/>
      </w:r>
      <w:r w:rsidR="0012514B">
        <w:rPr>
          <w:rFonts w:eastAsia="Times New Roman"/>
          <w:color w:val="333333"/>
          <w:shd w:val="clear" w:color="auto" w:fill="FFFFFF"/>
        </w:rPr>
        <w:t xml:space="preserve">Applying the </w:t>
      </w:r>
      <w:r w:rsidR="0012514B" w:rsidRPr="009D416F">
        <w:rPr>
          <w:rFonts w:eastAsia="Times New Roman"/>
          <w:i/>
          <w:color w:val="333333"/>
          <w:shd w:val="clear" w:color="auto" w:fill="FFFFFF"/>
        </w:rPr>
        <w:t>Kindred Nursing</w:t>
      </w:r>
      <w:r w:rsidR="0012514B">
        <w:rPr>
          <w:rFonts w:eastAsia="Times New Roman"/>
          <w:color w:val="333333"/>
          <w:shd w:val="clear" w:color="auto" w:fill="FFFFFF"/>
        </w:rPr>
        <w:t xml:space="preserve"> ruling to </w:t>
      </w:r>
      <w:r w:rsidRPr="00A83B90">
        <w:rPr>
          <w:rFonts w:eastAsia="Times New Roman"/>
          <w:color w:val="333333"/>
          <w:shd w:val="clear" w:color="auto" w:fill="FFFFFF"/>
        </w:rPr>
        <w:t>subsection 7.3</w:t>
      </w:r>
      <w:r w:rsidR="009D416F">
        <w:rPr>
          <w:rFonts w:eastAsia="Times New Roman"/>
          <w:color w:val="333333"/>
          <w:shd w:val="clear" w:color="auto" w:fill="FFFFFF"/>
        </w:rPr>
        <w:t xml:space="preserve"> </w:t>
      </w:r>
      <w:r w:rsidRPr="00A83B90">
        <w:rPr>
          <w:rFonts w:eastAsia="Times New Roman"/>
          <w:color w:val="333333"/>
          <w:shd w:val="clear" w:color="auto" w:fill="FFFFFF"/>
        </w:rPr>
        <w:t>of the NJPFA</w:t>
      </w:r>
      <w:r w:rsidR="0012514B">
        <w:rPr>
          <w:rFonts w:eastAsia="Times New Roman"/>
          <w:color w:val="333333"/>
          <w:shd w:val="clear" w:color="auto" w:fill="FFFFFF"/>
        </w:rPr>
        <w:t xml:space="preserve">, </w:t>
      </w:r>
      <w:r w:rsidR="00D562F2">
        <w:rPr>
          <w:rFonts w:eastAsia="Times New Roman"/>
          <w:color w:val="333333"/>
          <w:shd w:val="clear" w:color="auto" w:fill="FFFFFF"/>
        </w:rPr>
        <w:t xml:space="preserve">it appears that </w:t>
      </w:r>
      <w:r w:rsidR="0012514B">
        <w:rPr>
          <w:rFonts w:eastAsia="Times New Roman"/>
          <w:color w:val="333333"/>
          <w:shd w:val="clear" w:color="auto" w:fill="FFFFFF"/>
        </w:rPr>
        <w:t>the statute fails to place arbitration agreements on an equal plane with other contracts, in violation of</w:t>
      </w:r>
      <w:r w:rsidRPr="00A83B90">
        <w:rPr>
          <w:rFonts w:eastAsia="Times New Roman"/>
          <w:color w:val="333333"/>
          <w:shd w:val="clear" w:color="auto" w:fill="FFFFFF"/>
        </w:rPr>
        <w:t xml:space="preserve"> the </w:t>
      </w:r>
      <w:r w:rsidR="0012514B">
        <w:rPr>
          <w:rFonts w:eastAsia="Times New Roman"/>
          <w:color w:val="333333"/>
          <w:shd w:val="clear" w:color="auto" w:fill="FFFFFF"/>
        </w:rPr>
        <w:t>FAA</w:t>
      </w:r>
      <w:r w:rsidRPr="00A83B90">
        <w:rPr>
          <w:rFonts w:eastAsia="Times New Roman"/>
          <w:color w:val="333333"/>
          <w:shd w:val="clear" w:color="auto" w:fill="FFFFFF"/>
        </w:rPr>
        <w:t xml:space="preserve">. </w:t>
      </w:r>
      <w:r w:rsidR="005718E3" w:rsidRPr="00A83B90">
        <w:t xml:space="preserve">In accord, </w:t>
      </w:r>
      <w:r w:rsidRPr="00A83B90">
        <w:t xml:space="preserve">this </w:t>
      </w:r>
      <w:r w:rsidR="00D562F2">
        <w:t>M</w:t>
      </w:r>
      <w:r w:rsidRPr="00A83B90">
        <w:t xml:space="preserve">emorandum </w:t>
      </w:r>
      <w:r w:rsidR="005718E3" w:rsidRPr="00A83B90">
        <w:t>recommends repealing portions of subsection 7.3 of the NJFPA.</w:t>
      </w:r>
      <w:r w:rsidR="005718E3" w:rsidRPr="00A83B90">
        <w:rPr>
          <w:rStyle w:val="FootnoteReference"/>
        </w:rPr>
        <w:footnoteReference w:id="19"/>
      </w:r>
    </w:p>
    <w:p w14:paraId="107E4113" w14:textId="77777777" w:rsidR="007F077F" w:rsidRPr="00800E8A" w:rsidRDefault="007F077F" w:rsidP="00CA6542">
      <w:pPr>
        <w:spacing w:line="276" w:lineRule="auto"/>
        <w:rPr>
          <w:rFonts w:eastAsia="Times New Roman"/>
        </w:rPr>
      </w:pPr>
    </w:p>
    <w:p w14:paraId="56933358" w14:textId="77777777" w:rsidR="00BD4F6C" w:rsidRPr="00EA0917" w:rsidRDefault="00BD4F6C" w:rsidP="00CA6542">
      <w:pPr>
        <w:spacing w:line="276" w:lineRule="auto"/>
        <w:jc w:val="center"/>
        <w:rPr>
          <w:rFonts w:eastAsia="Times New Roman"/>
          <w:b/>
          <w:smallCaps/>
        </w:rPr>
      </w:pPr>
      <w:r w:rsidRPr="00EA0917">
        <w:rPr>
          <w:rFonts w:eastAsia="Times New Roman"/>
          <w:b/>
          <w:smallCaps/>
        </w:rPr>
        <w:t>Conclusion</w:t>
      </w:r>
    </w:p>
    <w:p w14:paraId="68258EB5" w14:textId="77777777" w:rsidR="001700AA" w:rsidRPr="00800E8A" w:rsidRDefault="001700AA" w:rsidP="00CA6542">
      <w:pPr>
        <w:spacing w:line="276" w:lineRule="auto"/>
        <w:rPr>
          <w:rFonts w:eastAsia="Times New Roman"/>
        </w:rPr>
      </w:pPr>
    </w:p>
    <w:p w14:paraId="3E1CDD62" w14:textId="59D30CB9" w:rsidR="00CA6542" w:rsidRDefault="0012514B" w:rsidP="00CA6542">
      <w:pPr>
        <w:spacing w:line="276" w:lineRule="auto"/>
        <w:ind w:firstLine="720"/>
        <w:jc w:val="both"/>
        <w:rPr>
          <w:rFonts w:eastAsia="Times New Roman"/>
        </w:rPr>
      </w:pPr>
      <w:r>
        <w:rPr>
          <w:rFonts w:eastAsia="Times New Roman"/>
        </w:rPr>
        <w:t>The Commission noted</w:t>
      </w:r>
      <w:r w:rsidR="001833EF">
        <w:rPr>
          <w:rFonts w:eastAsia="Times New Roman"/>
        </w:rPr>
        <w:t>,</w:t>
      </w:r>
      <w:r>
        <w:rPr>
          <w:rFonts w:eastAsia="Times New Roman"/>
        </w:rPr>
        <w:t xml:space="preserve"> when </w:t>
      </w:r>
      <w:r w:rsidR="001833EF">
        <w:rPr>
          <w:rFonts w:eastAsia="Times New Roman"/>
        </w:rPr>
        <w:t xml:space="preserve">previously </w:t>
      </w:r>
      <w:r>
        <w:rPr>
          <w:rFonts w:eastAsia="Times New Roman"/>
        </w:rPr>
        <w:t>considering proposed revisions to the NJFPA</w:t>
      </w:r>
      <w:r w:rsidR="001833EF">
        <w:rPr>
          <w:rFonts w:eastAsia="Times New Roman"/>
        </w:rPr>
        <w:t>,</w:t>
      </w:r>
      <w:r>
        <w:rPr>
          <w:rFonts w:eastAsia="Times New Roman"/>
        </w:rPr>
        <w:t xml:space="preserve"> that the FAA pre-empts state statutes disfavoring arbitration agreements. The recommendations in this memorandum are consistent with the recommendations of the Commission and the recent </w:t>
      </w:r>
      <w:r>
        <w:rPr>
          <w:rFonts w:eastAsia="Times New Roman"/>
        </w:rPr>
        <w:lastRenderedPageBreak/>
        <w:t xml:space="preserve">decision of the Court in </w:t>
      </w:r>
      <w:r w:rsidRPr="0012514B">
        <w:rPr>
          <w:rFonts w:eastAsia="Times New Roman"/>
          <w:i/>
        </w:rPr>
        <w:t>Kindred Nursing</w:t>
      </w:r>
      <w:r>
        <w:rPr>
          <w:rFonts w:eastAsia="Times New Roman"/>
        </w:rPr>
        <w:t xml:space="preserve">. </w:t>
      </w:r>
    </w:p>
    <w:p w14:paraId="03523330" w14:textId="77777777" w:rsidR="00CA6542" w:rsidRDefault="00CA6542" w:rsidP="00CA6542">
      <w:pPr>
        <w:spacing w:line="276" w:lineRule="auto"/>
        <w:ind w:firstLine="720"/>
        <w:jc w:val="both"/>
        <w:rPr>
          <w:rFonts w:eastAsia="Times New Roman"/>
        </w:rPr>
      </w:pPr>
    </w:p>
    <w:p w14:paraId="03827CB4" w14:textId="77777777" w:rsidR="00CA6542" w:rsidRDefault="0012514B" w:rsidP="00CA6542">
      <w:pPr>
        <w:spacing w:line="276" w:lineRule="auto"/>
        <w:ind w:firstLine="720"/>
        <w:jc w:val="both"/>
        <w:rPr>
          <w:rFonts w:eastAsia="Times New Roman"/>
        </w:rPr>
      </w:pPr>
      <w:r>
        <w:rPr>
          <w:rFonts w:eastAsia="Times New Roman"/>
        </w:rPr>
        <w:t>Staff will continue draft</w:t>
      </w:r>
      <w:r w:rsidR="001833EF">
        <w:rPr>
          <w:rFonts w:eastAsia="Times New Roman"/>
        </w:rPr>
        <w:t>ing</w:t>
      </w:r>
      <w:r>
        <w:rPr>
          <w:rFonts w:eastAsia="Times New Roman"/>
        </w:rPr>
        <w:t xml:space="preserve"> revisions to the NJFPA based on </w:t>
      </w:r>
      <w:r w:rsidRPr="001F4773">
        <w:rPr>
          <w:rFonts w:eastAsia="Times New Roman"/>
        </w:rPr>
        <w:t xml:space="preserve">case law governing the gross sales threshold </w:t>
      </w:r>
      <w:r w:rsidR="009F70F7">
        <w:rPr>
          <w:rFonts w:eastAsia="Times New Roman"/>
        </w:rPr>
        <w:t xml:space="preserve">and </w:t>
      </w:r>
      <w:r w:rsidRPr="001F4773">
        <w:rPr>
          <w:rFonts w:eastAsia="Times New Roman"/>
        </w:rPr>
        <w:t>forum-</w:t>
      </w:r>
      <w:r w:rsidR="001833EF">
        <w:rPr>
          <w:rFonts w:eastAsia="Times New Roman"/>
        </w:rPr>
        <w:t xml:space="preserve">selection, and present </w:t>
      </w:r>
      <w:r>
        <w:rPr>
          <w:rFonts w:eastAsia="Times New Roman"/>
        </w:rPr>
        <w:t xml:space="preserve">a Revised Draft Tentative Report incorporating these revisions at a later date. </w:t>
      </w:r>
    </w:p>
    <w:p w14:paraId="7419C81A" w14:textId="77777777" w:rsidR="00CA6542" w:rsidRDefault="00CA6542" w:rsidP="00CA6542">
      <w:pPr>
        <w:spacing w:line="276" w:lineRule="auto"/>
        <w:ind w:firstLine="720"/>
        <w:jc w:val="both"/>
        <w:rPr>
          <w:rFonts w:eastAsia="Times New Roman"/>
        </w:rPr>
      </w:pPr>
    </w:p>
    <w:p w14:paraId="41B50551" w14:textId="6605B3E8" w:rsidR="00366C2B" w:rsidRPr="00800E8A" w:rsidRDefault="0012514B" w:rsidP="00CA6542">
      <w:pPr>
        <w:spacing w:line="276" w:lineRule="auto"/>
        <w:ind w:firstLine="720"/>
        <w:jc w:val="both"/>
      </w:pPr>
      <w:r>
        <w:rPr>
          <w:rFonts w:eastAsia="Times New Roman"/>
        </w:rPr>
        <w:t xml:space="preserve">Staff requests approval from the Commission </w:t>
      </w:r>
      <w:r w:rsidR="001833EF">
        <w:rPr>
          <w:rFonts w:eastAsia="Times New Roman"/>
        </w:rPr>
        <w:t xml:space="preserve">to recommend the portions of section </w:t>
      </w:r>
      <w:r w:rsidR="009D416F">
        <w:rPr>
          <w:rFonts w:eastAsia="Times New Roman"/>
        </w:rPr>
        <w:t>N.J.S. 56:10-</w:t>
      </w:r>
      <w:r w:rsidR="001833EF">
        <w:rPr>
          <w:rFonts w:eastAsia="Times New Roman"/>
        </w:rPr>
        <w:t>7.3</w:t>
      </w:r>
      <w:r w:rsidR="009D416F">
        <w:rPr>
          <w:rFonts w:eastAsia="Times New Roman"/>
        </w:rPr>
        <w:t xml:space="preserve"> </w:t>
      </w:r>
      <w:r w:rsidR="001833EF">
        <w:rPr>
          <w:rFonts w:eastAsia="Times New Roman"/>
        </w:rPr>
        <w:t xml:space="preserve">for repeal as indicated in the </w:t>
      </w:r>
      <w:r w:rsidR="00CA6542">
        <w:rPr>
          <w:rFonts w:eastAsia="Times New Roman"/>
        </w:rPr>
        <w:t>A</w:t>
      </w:r>
      <w:r w:rsidR="001833EF">
        <w:rPr>
          <w:rFonts w:eastAsia="Times New Roman"/>
        </w:rPr>
        <w:t xml:space="preserve">ppendix of this </w:t>
      </w:r>
      <w:r w:rsidR="000C2FBD">
        <w:rPr>
          <w:rFonts w:eastAsia="Times New Roman"/>
        </w:rPr>
        <w:t>M</w:t>
      </w:r>
      <w:r w:rsidR="001833EF">
        <w:rPr>
          <w:rFonts w:eastAsia="Times New Roman"/>
        </w:rPr>
        <w:t>emorandum.</w:t>
      </w:r>
    </w:p>
    <w:p w14:paraId="4D8B29E2" w14:textId="77777777" w:rsidR="00081323" w:rsidRDefault="00081323" w:rsidP="00F233DA">
      <w:pPr>
        <w:pStyle w:val="ListParagraph"/>
        <w:spacing w:after="120" w:line="276" w:lineRule="auto"/>
        <w:ind w:left="1080"/>
        <w:jc w:val="both"/>
        <w:rPr>
          <w:rFonts w:eastAsia="Times New Roman"/>
        </w:rPr>
      </w:pPr>
    </w:p>
    <w:p w14:paraId="3F08C796" w14:textId="77777777" w:rsidR="005718E3" w:rsidRDefault="005718E3" w:rsidP="005718E3">
      <w:pPr>
        <w:spacing w:after="120" w:line="276" w:lineRule="auto"/>
        <w:ind w:left="360"/>
        <w:jc w:val="both"/>
        <w:rPr>
          <w:rFonts w:eastAsia="Times New Roman"/>
        </w:rPr>
      </w:pPr>
    </w:p>
    <w:p w14:paraId="633095B4" w14:textId="147F3B61" w:rsidR="003F110F" w:rsidRPr="005718E3" w:rsidRDefault="00B350AA" w:rsidP="005718E3">
      <w:pPr>
        <w:spacing w:after="120" w:line="276" w:lineRule="auto"/>
        <w:ind w:left="360"/>
        <w:jc w:val="both"/>
        <w:rPr>
          <w:rFonts w:eastAsia="Times New Roman"/>
        </w:rPr>
      </w:pPr>
      <w:r w:rsidRPr="005718E3">
        <w:rPr>
          <w:rFonts w:eastAsia="Times New Roman"/>
        </w:rPr>
        <w:br w:type="page"/>
      </w:r>
    </w:p>
    <w:p w14:paraId="6DF19846" w14:textId="77777777" w:rsidR="003F110F" w:rsidRDefault="003F110F" w:rsidP="003F110F">
      <w:pPr>
        <w:jc w:val="center"/>
        <w:rPr>
          <w:b/>
          <w:smallCaps/>
        </w:rPr>
      </w:pPr>
      <w:r w:rsidRPr="005C3641">
        <w:rPr>
          <w:b/>
          <w:smallCaps/>
        </w:rPr>
        <w:t>Appendix</w:t>
      </w:r>
    </w:p>
    <w:p w14:paraId="6FC6E29E" w14:textId="77777777" w:rsidR="001F636F" w:rsidRPr="005C3641" w:rsidRDefault="001F636F" w:rsidP="003F110F">
      <w:pPr>
        <w:jc w:val="center"/>
        <w:rPr>
          <w:b/>
          <w:smallCaps/>
        </w:rPr>
      </w:pPr>
    </w:p>
    <w:p w14:paraId="3CCA00AC" w14:textId="77777777" w:rsidR="003F110F" w:rsidRPr="00C977C0" w:rsidRDefault="003F110F" w:rsidP="003F110F">
      <w:pPr>
        <w:pStyle w:val="NoSpacing"/>
        <w:spacing w:line="276" w:lineRule="auto"/>
        <w:jc w:val="both"/>
      </w:pPr>
      <w:r w:rsidRPr="00C977C0">
        <w:rPr>
          <w:b/>
        </w:rPr>
        <w:t>N.J.S. 56:10-7.3.</w:t>
      </w:r>
      <w:r>
        <w:rPr>
          <w:b/>
        </w:rPr>
        <w:t xml:space="preserve"> </w:t>
      </w:r>
      <w:r w:rsidRPr="00EB3A57">
        <w:rPr>
          <w:b/>
        </w:rPr>
        <w:t>Motor vehicle franchises; prohibition of certain terms or conditions; presumption; remedies</w:t>
      </w:r>
    </w:p>
    <w:p w14:paraId="2C88ABB7" w14:textId="77777777" w:rsidR="003F110F" w:rsidRPr="00C977C0" w:rsidRDefault="003F110F" w:rsidP="003F110F">
      <w:pPr>
        <w:pStyle w:val="NoSpacing"/>
        <w:spacing w:line="276" w:lineRule="auto"/>
        <w:jc w:val="both"/>
      </w:pPr>
    </w:p>
    <w:p w14:paraId="12304E2B" w14:textId="77777777" w:rsidR="003F110F" w:rsidRPr="00C977C0" w:rsidRDefault="003F110F" w:rsidP="003F110F">
      <w:pPr>
        <w:pStyle w:val="NoSpacing"/>
        <w:spacing w:line="276" w:lineRule="auto"/>
        <w:jc w:val="both"/>
      </w:pPr>
      <w:r w:rsidRPr="00C977C0">
        <w:t>a. It shall be a violation of the “Franchise Practices Act,” P.L.1971, c. 356 (C.56:10-1 et seq.) to require a</w:t>
      </w:r>
      <w:r w:rsidRPr="00C977C0">
        <w:rPr>
          <w:b/>
        </w:rPr>
        <w:t xml:space="preserve"> </w:t>
      </w:r>
      <w:r w:rsidRPr="00C977C0">
        <w:t>motor vehicle franchisee to agree to a term or condition in a franchise, or in any lease or agreement ancillary or collateral to a franchise, which</w:t>
      </w:r>
      <w:r w:rsidRPr="00EB49AE">
        <w:rPr>
          <w:strike/>
        </w:rPr>
        <w:t>:</w:t>
      </w:r>
    </w:p>
    <w:p w14:paraId="6233946C" w14:textId="77777777" w:rsidR="003F110F" w:rsidRPr="00C977C0" w:rsidRDefault="003F110F" w:rsidP="003F110F">
      <w:pPr>
        <w:pStyle w:val="NoSpacing"/>
        <w:spacing w:line="276" w:lineRule="auto"/>
        <w:jc w:val="both"/>
      </w:pPr>
    </w:p>
    <w:p w14:paraId="6FD1D40A" w14:textId="533D00A3" w:rsidR="003F110F" w:rsidRPr="00C977C0" w:rsidRDefault="003F110F" w:rsidP="003F110F">
      <w:pPr>
        <w:pStyle w:val="NoSpacing"/>
        <w:spacing w:line="276" w:lineRule="auto"/>
        <w:ind w:left="720"/>
        <w:jc w:val="both"/>
      </w:pPr>
      <w:r w:rsidRPr="003F110F">
        <w:rPr>
          <w:strike/>
        </w:rPr>
        <w:t xml:space="preserve">(1) </w:t>
      </w:r>
      <w:proofErr w:type="gramStart"/>
      <w:r w:rsidRPr="003F110F">
        <w:rPr>
          <w:strike/>
        </w:rPr>
        <w:t>Requires</w:t>
      </w:r>
      <w:proofErr w:type="gramEnd"/>
      <w:r w:rsidRPr="003F110F">
        <w:rPr>
          <w:strike/>
        </w:rPr>
        <w:t xml:space="preserve"> the motor vehicle franchisee to waive trial by jury in actions involving the motor vehicle franchisor;</w:t>
      </w:r>
      <w:r w:rsidRPr="00C977C0">
        <w:t xml:space="preserve"> </w:t>
      </w:r>
    </w:p>
    <w:p w14:paraId="5FC0778C" w14:textId="77777777" w:rsidR="003F110F" w:rsidRPr="00C977C0" w:rsidRDefault="003F110F" w:rsidP="003F110F">
      <w:pPr>
        <w:pStyle w:val="NoSpacing"/>
        <w:spacing w:line="276" w:lineRule="auto"/>
        <w:jc w:val="both"/>
      </w:pPr>
    </w:p>
    <w:p w14:paraId="75B70FB2" w14:textId="5FFCF9FC" w:rsidR="003F110F" w:rsidRPr="00C977C0" w:rsidRDefault="003F110F" w:rsidP="003F110F">
      <w:pPr>
        <w:pStyle w:val="NoSpacing"/>
        <w:spacing w:line="276" w:lineRule="auto"/>
        <w:ind w:left="720"/>
        <w:jc w:val="both"/>
      </w:pPr>
      <w:r w:rsidRPr="003F110F">
        <w:rPr>
          <w:strike/>
        </w:rPr>
        <w:t>(2)</w:t>
      </w:r>
      <w:r w:rsidRPr="00C977C0">
        <w:t xml:space="preserve"> </w:t>
      </w:r>
      <w:proofErr w:type="spellStart"/>
      <w:r w:rsidRPr="00EB49AE">
        <w:rPr>
          <w:strike/>
          <w:u w:val="single"/>
        </w:rPr>
        <w:t>S</w:t>
      </w:r>
      <w:r w:rsidR="00EB49AE">
        <w:rPr>
          <w:u w:val="single"/>
        </w:rPr>
        <w:t>s</w:t>
      </w:r>
      <w:r w:rsidRPr="00EB49AE">
        <w:rPr>
          <w:u w:val="single"/>
        </w:rPr>
        <w:t>pecifi</w:t>
      </w:r>
      <w:bookmarkStart w:id="0" w:name="_GoBack"/>
      <w:bookmarkEnd w:id="0"/>
      <w:r w:rsidRPr="00EB49AE">
        <w:rPr>
          <w:u w:val="single"/>
        </w:rPr>
        <w:t>es</w:t>
      </w:r>
      <w:proofErr w:type="spellEnd"/>
      <w:r w:rsidRPr="00C977C0">
        <w:t xml:space="preserve"> the jurisdictions</w:t>
      </w:r>
      <w:r w:rsidRPr="003F110F">
        <w:rPr>
          <w:strike/>
        </w:rPr>
        <w:t>,</w:t>
      </w:r>
      <w:r w:rsidRPr="00C977C0">
        <w:t xml:space="preserve"> </w:t>
      </w:r>
      <w:r w:rsidRPr="003F110F">
        <w:rPr>
          <w:u w:val="single"/>
        </w:rPr>
        <w:t>or</w:t>
      </w:r>
      <w:r>
        <w:t xml:space="preserve"> </w:t>
      </w:r>
      <w:r w:rsidRPr="00C977C0">
        <w:t xml:space="preserve">venues </w:t>
      </w:r>
      <w:r w:rsidRPr="003F110F">
        <w:rPr>
          <w:strike/>
        </w:rPr>
        <w:t>or tribunals</w:t>
      </w:r>
      <w:r w:rsidRPr="00C977C0">
        <w:t xml:space="preserve"> in which disputes arising with respect to the franchise, lease or agreement shall or shall not be submitted for resolution</w:t>
      </w:r>
      <w:r w:rsidR="001833EF" w:rsidRPr="001833EF">
        <w:rPr>
          <w:u w:val="single"/>
        </w:rPr>
        <w:t>.</w:t>
      </w:r>
      <w:r w:rsidRPr="001833EF">
        <w:rPr>
          <w:u w:val="single"/>
        </w:rPr>
        <w:t xml:space="preserve"> </w:t>
      </w:r>
      <w:proofErr w:type="gramStart"/>
      <w:r w:rsidRPr="0068136D">
        <w:rPr>
          <w:strike/>
        </w:rPr>
        <w:t>or</w:t>
      </w:r>
      <w:proofErr w:type="gramEnd"/>
      <w:r w:rsidRPr="0068136D">
        <w:rPr>
          <w:strike/>
        </w:rPr>
        <w:t xml:space="preserve"> otherwise prohibits a motor vehicle franchisee from bringing an action in a particular forum otherwise available under the law of this State</w:t>
      </w:r>
      <w:r w:rsidRPr="00C977C0">
        <w:rPr>
          <w:u w:val="single"/>
        </w:rPr>
        <w:t>.</w:t>
      </w:r>
      <w:r w:rsidRPr="00C977C0">
        <w:rPr>
          <w:strike/>
        </w:rPr>
        <w:t>; or</w:t>
      </w:r>
    </w:p>
    <w:p w14:paraId="0AE217B4" w14:textId="77777777" w:rsidR="003F110F" w:rsidRPr="00C977C0" w:rsidRDefault="003F110F" w:rsidP="003F110F">
      <w:pPr>
        <w:pStyle w:val="NoSpacing"/>
        <w:spacing w:line="276" w:lineRule="auto"/>
        <w:jc w:val="both"/>
      </w:pPr>
    </w:p>
    <w:p w14:paraId="1EB4076B" w14:textId="77777777" w:rsidR="003F110F" w:rsidRPr="00C977C0" w:rsidRDefault="003F110F" w:rsidP="003F110F">
      <w:pPr>
        <w:pStyle w:val="NoSpacing"/>
        <w:spacing w:line="276" w:lineRule="auto"/>
        <w:ind w:left="720"/>
        <w:jc w:val="both"/>
        <w:rPr>
          <w:strike/>
        </w:rPr>
      </w:pPr>
      <w:r w:rsidRPr="00C977C0">
        <w:rPr>
          <w:strike/>
        </w:rPr>
        <w:t>(3) Requires that disputes between the motor vehicle franchisor and motor vehicle franchisee be submitted to arbitration or to any other binding alternate dispute resolution procedure; provided, however, that any franchise, lease or agreement may authorize the submission of a dispute to arbitration or to binding alternate dispute resolution if the motor vehicle franchisor and motor vehicle franchisee voluntarily agree to submit the dispute to arbitration or binding alternate dispute resolution at the time the dispute arises.</w:t>
      </w:r>
    </w:p>
    <w:p w14:paraId="7B8D6218" w14:textId="77777777" w:rsidR="003F110F" w:rsidRPr="00C977C0" w:rsidRDefault="003F110F" w:rsidP="003F110F">
      <w:pPr>
        <w:pStyle w:val="NoSpacing"/>
        <w:spacing w:line="276" w:lineRule="auto"/>
        <w:jc w:val="both"/>
      </w:pPr>
    </w:p>
    <w:p w14:paraId="79F924D5" w14:textId="77777777" w:rsidR="003F110F" w:rsidRPr="00C977C0" w:rsidRDefault="003F110F" w:rsidP="003F110F">
      <w:pPr>
        <w:pStyle w:val="NoSpacing"/>
        <w:spacing w:line="276" w:lineRule="auto"/>
        <w:jc w:val="both"/>
      </w:pPr>
      <w:r w:rsidRPr="00C977C0">
        <w:t>b. For the purposes of this section, it shall be presumed that a motor vehicle franchisee has been required to agree to a term or condition in violation of this section as a condition of the offer, grant or renewal of a franchise or of any lease or agreement ancillary or collateral to a franchise, if the motor vehicle franchisee, at the time of the offer, grant or renewal of the franchise, lease or agreement is not offered the option of an identical franchise, lease or agreement without the term or condition proscribed by this section.</w:t>
      </w:r>
    </w:p>
    <w:p w14:paraId="6606F1CB" w14:textId="77777777" w:rsidR="003F110F" w:rsidRPr="00C977C0" w:rsidRDefault="003F110F" w:rsidP="003F110F">
      <w:pPr>
        <w:pStyle w:val="NoSpacing"/>
        <w:spacing w:line="276" w:lineRule="auto"/>
        <w:jc w:val="both"/>
      </w:pPr>
    </w:p>
    <w:p w14:paraId="3376E0AC" w14:textId="77777777" w:rsidR="003F110F" w:rsidRPr="00C977C0" w:rsidRDefault="003F110F" w:rsidP="003F110F">
      <w:pPr>
        <w:pStyle w:val="NoSpacing"/>
        <w:spacing w:line="276" w:lineRule="auto"/>
        <w:jc w:val="both"/>
      </w:pPr>
      <w:r w:rsidRPr="00C977C0">
        <w:t>c. In addition to any remedy provided in the “Franchise Practices Act,” any term or condition included in a franchise, or in any lease or agreement ancillary or collateral to a franchise, in violation of this section may be revoked by the motor vehicle franchisee by written notice to the motor vehicle franchisor within 60 days of the motor vehicle franchisee's receipt of the fully executed franchise, lease or agreement. This revocation shall not otherwise affect the validity, effectiveness or enforceability of the franchise, lease or agreement.</w:t>
      </w:r>
    </w:p>
    <w:p w14:paraId="7295FDD9" w14:textId="77777777" w:rsidR="003F110F" w:rsidRDefault="003F110F" w:rsidP="003F110F">
      <w:pPr>
        <w:pStyle w:val="NoSpacing"/>
        <w:jc w:val="both"/>
      </w:pPr>
    </w:p>
    <w:sectPr w:rsidR="003F110F" w:rsidSect="0052411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95BF6" w14:textId="77777777" w:rsidR="00192941" w:rsidRDefault="00192941" w:rsidP="00B350AA">
      <w:r>
        <w:separator/>
      </w:r>
    </w:p>
  </w:endnote>
  <w:endnote w:type="continuationSeparator" w:id="0">
    <w:p w14:paraId="12A1E8DB" w14:textId="77777777" w:rsidR="00192941" w:rsidRDefault="00192941" w:rsidP="00B3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56168" w14:textId="77777777" w:rsidR="0052411C" w:rsidRDefault="0052411C" w:rsidP="005241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8368D60" w14:textId="77777777" w:rsidR="0052411C" w:rsidRDefault="00524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FC4F" w14:textId="6EB33654" w:rsidR="0052411C" w:rsidRPr="00BD7254" w:rsidRDefault="0052411C" w:rsidP="0052411C">
    <w:pPr>
      <w:pStyle w:val="Footer"/>
      <w:framePr w:w="9940" w:h="537" w:hRule="exact" w:wrap="none" w:vAnchor="text" w:hAnchor="page" w:x="1342" w:y="-83"/>
      <w:jc w:val="center"/>
      <w:rPr>
        <w:rStyle w:val="PageNumber"/>
        <w:sz w:val="20"/>
        <w:szCs w:val="20"/>
      </w:rPr>
    </w:pPr>
    <w:r w:rsidRPr="00BD7254">
      <w:rPr>
        <w:rStyle w:val="PageNumber"/>
        <w:sz w:val="20"/>
        <w:szCs w:val="20"/>
      </w:rPr>
      <w:t xml:space="preserve">New Jersey Franchises Practices Act – Memorandum – </w:t>
    </w:r>
    <w:r w:rsidR="0082782C" w:rsidRPr="00BD7254">
      <w:rPr>
        <w:rStyle w:val="PageNumber"/>
        <w:sz w:val="20"/>
        <w:szCs w:val="20"/>
      </w:rPr>
      <w:t>June 5, 2017</w:t>
    </w:r>
    <w:r w:rsidRPr="00BD7254">
      <w:rPr>
        <w:rStyle w:val="PageNumber"/>
        <w:sz w:val="20"/>
        <w:szCs w:val="20"/>
      </w:rPr>
      <w:t xml:space="preserve"> - Page </w:t>
    </w:r>
    <w:r w:rsidRPr="00BD7254">
      <w:rPr>
        <w:rStyle w:val="PageNumber"/>
        <w:sz w:val="20"/>
        <w:szCs w:val="20"/>
      </w:rPr>
      <w:fldChar w:fldCharType="begin"/>
    </w:r>
    <w:r w:rsidRPr="00BD7254">
      <w:rPr>
        <w:rStyle w:val="PageNumber"/>
        <w:sz w:val="20"/>
        <w:szCs w:val="20"/>
      </w:rPr>
      <w:instrText xml:space="preserve">PAGE  </w:instrText>
    </w:r>
    <w:r w:rsidRPr="00BD7254">
      <w:rPr>
        <w:rStyle w:val="PageNumber"/>
        <w:sz w:val="20"/>
        <w:szCs w:val="20"/>
      </w:rPr>
      <w:fldChar w:fldCharType="separate"/>
    </w:r>
    <w:r w:rsidR="00EB49AE">
      <w:rPr>
        <w:rStyle w:val="PageNumber"/>
        <w:noProof/>
        <w:sz w:val="20"/>
        <w:szCs w:val="20"/>
      </w:rPr>
      <w:t>5</w:t>
    </w:r>
    <w:r w:rsidRPr="00BD7254">
      <w:rPr>
        <w:rStyle w:val="PageNumber"/>
        <w:sz w:val="20"/>
        <w:szCs w:val="20"/>
      </w:rPr>
      <w:fldChar w:fldCharType="end"/>
    </w:r>
  </w:p>
  <w:p w14:paraId="01D92E28" w14:textId="77777777" w:rsidR="0052411C" w:rsidRDefault="00524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2BCD2" w14:textId="77777777" w:rsidR="00192941" w:rsidRDefault="00192941" w:rsidP="00B350AA">
      <w:r>
        <w:separator/>
      </w:r>
    </w:p>
  </w:footnote>
  <w:footnote w:type="continuationSeparator" w:id="0">
    <w:p w14:paraId="354F958B" w14:textId="77777777" w:rsidR="00192941" w:rsidRDefault="00192941" w:rsidP="00B350AA">
      <w:r>
        <w:continuationSeparator/>
      </w:r>
    </w:p>
  </w:footnote>
  <w:footnote w:id="1">
    <w:p w14:paraId="4A1CBA9A" w14:textId="13C0973B" w:rsidR="00E466B6" w:rsidRPr="009F70F7" w:rsidRDefault="00E466B6">
      <w:pPr>
        <w:pStyle w:val="FootnoteText"/>
      </w:pPr>
      <w:r w:rsidRPr="009F70F7">
        <w:rPr>
          <w:rStyle w:val="FootnoteReference"/>
        </w:rPr>
        <w:footnoteRef/>
      </w:r>
      <w:r w:rsidRPr="009F70F7">
        <w:t xml:space="preserve"> </w:t>
      </w:r>
      <w:r w:rsidR="009F70F7" w:rsidRPr="009F70F7">
        <w:rPr>
          <w:smallCaps/>
        </w:rPr>
        <w:t>NJ. Stat. Ann.</w:t>
      </w:r>
      <w:r w:rsidR="009F70F7" w:rsidRPr="009F70F7">
        <w:t xml:space="preserve">  </w:t>
      </w:r>
      <w:r w:rsidR="009F70F7" w:rsidRPr="00A83B90">
        <w:rPr>
          <w:sz w:val="24"/>
          <w:szCs w:val="24"/>
        </w:rPr>
        <w:t>§§</w:t>
      </w:r>
      <w:r w:rsidR="009F70F7">
        <w:rPr>
          <w:sz w:val="24"/>
          <w:szCs w:val="24"/>
        </w:rPr>
        <w:t xml:space="preserve"> </w:t>
      </w:r>
      <w:r w:rsidR="009F70F7" w:rsidRPr="009F70F7">
        <w:t xml:space="preserve">56:10–1 to -15 (West 2017); </w:t>
      </w:r>
      <w:proofErr w:type="spellStart"/>
      <w:r w:rsidRPr="009F70F7">
        <w:rPr>
          <w:rFonts w:eastAsia="Times New Roman"/>
          <w:i/>
        </w:rPr>
        <w:t>Kubis</w:t>
      </w:r>
      <w:proofErr w:type="spellEnd"/>
      <w:r w:rsidRPr="009F70F7">
        <w:rPr>
          <w:rFonts w:eastAsia="Times New Roman"/>
          <w:i/>
        </w:rPr>
        <w:t xml:space="preserve"> &amp; </w:t>
      </w:r>
      <w:proofErr w:type="spellStart"/>
      <w:r w:rsidRPr="009F70F7">
        <w:rPr>
          <w:rFonts w:eastAsia="Times New Roman"/>
          <w:i/>
        </w:rPr>
        <w:t>Perszyk</w:t>
      </w:r>
      <w:proofErr w:type="spellEnd"/>
      <w:r w:rsidRPr="009F70F7">
        <w:rPr>
          <w:rFonts w:eastAsia="Times New Roman"/>
          <w:i/>
        </w:rPr>
        <w:t xml:space="preserve"> Associates, Inc. v. Sun Microsystems, Inc</w:t>
      </w:r>
      <w:r w:rsidRPr="009F70F7">
        <w:rPr>
          <w:rFonts w:eastAsia="Times New Roman"/>
        </w:rPr>
        <w:t xml:space="preserve">., 146 N.J. 176, </w:t>
      </w:r>
      <w:r w:rsidR="007C339B" w:rsidRPr="009F70F7">
        <w:rPr>
          <w:rFonts w:eastAsia="Times New Roman"/>
        </w:rPr>
        <w:t>195</w:t>
      </w:r>
      <w:r w:rsidRPr="009F70F7">
        <w:rPr>
          <w:rFonts w:eastAsia="Times New Roman"/>
        </w:rPr>
        <w:t xml:space="preserve"> (1996).</w:t>
      </w:r>
    </w:p>
  </w:footnote>
  <w:footnote w:id="2">
    <w:p w14:paraId="1DD039B0" w14:textId="501F499B" w:rsidR="00E466B6" w:rsidRPr="00506F50" w:rsidRDefault="00E466B6" w:rsidP="003237D4">
      <w:pPr>
        <w:rPr>
          <w:rFonts w:eastAsia="Times New Roman"/>
          <w:sz w:val="20"/>
          <w:szCs w:val="20"/>
        </w:rPr>
      </w:pPr>
      <w:r w:rsidRPr="00506F50">
        <w:rPr>
          <w:rStyle w:val="FootnoteReference"/>
          <w:sz w:val="20"/>
          <w:szCs w:val="20"/>
        </w:rPr>
        <w:footnoteRef/>
      </w:r>
      <w:r w:rsidRPr="00506F50">
        <w:rPr>
          <w:i/>
          <w:sz w:val="20"/>
          <w:szCs w:val="20"/>
        </w:rPr>
        <w:t xml:space="preserve"> </w:t>
      </w:r>
      <w:r w:rsidR="003237D4" w:rsidRPr="00506F50">
        <w:rPr>
          <w:i/>
          <w:sz w:val="20"/>
          <w:szCs w:val="20"/>
        </w:rPr>
        <w:t>See</w:t>
      </w:r>
      <w:r w:rsidR="003237D4" w:rsidRPr="00506F50">
        <w:rPr>
          <w:sz w:val="20"/>
          <w:szCs w:val="20"/>
        </w:rPr>
        <w:t xml:space="preserve"> </w:t>
      </w:r>
      <w:proofErr w:type="spellStart"/>
      <w:r w:rsidR="003237D4" w:rsidRPr="00506F50">
        <w:rPr>
          <w:rFonts w:eastAsia="Times New Roman"/>
          <w:sz w:val="20"/>
          <w:szCs w:val="20"/>
        </w:rPr>
        <w:t>Earsa</w:t>
      </w:r>
      <w:proofErr w:type="spellEnd"/>
      <w:r w:rsidR="003237D4" w:rsidRPr="00506F50">
        <w:rPr>
          <w:rFonts w:eastAsia="Times New Roman"/>
          <w:sz w:val="20"/>
          <w:szCs w:val="20"/>
        </w:rPr>
        <w:t xml:space="preserve"> Jackson &amp; Jim </w:t>
      </w:r>
      <w:proofErr w:type="spellStart"/>
      <w:r w:rsidR="003237D4" w:rsidRPr="00506F50">
        <w:rPr>
          <w:rFonts w:eastAsia="Times New Roman"/>
          <w:sz w:val="20"/>
          <w:szCs w:val="20"/>
        </w:rPr>
        <w:t>Meaney</w:t>
      </w:r>
      <w:proofErr w:type="spellEnd"/>
      <w:r w:rsidR="003237D4" w:rsidRPr="00506F50">
        <w:rPr>
          <w:rFonts w:eastAsia="Times New Roman"/>
          <w:sz w:val="20"/>
          <w:szCs w:val="20"/>
        </w:rPr>
        <w:t xml:space="preserve">, </w:t>
      </w:r>
      <w:r w:rsidR="003237D4" w:rsidRPr="00506F50">
        <w:rPr>
          <w:rFonts w:eastAsia="Times New Roman"/>
          <w:i/>
          <w:sz w:val="20"/>
          <w:szCs w:val="20"/>
        </w:rPr>
        <w:t>Forum Selection After Atlantic Marine</w:t>
      </w:r>
      <w:r w:rsidR="003237D4" w:rsidRPr="00506F50">
        <w:rPr>
          <w:rFonts w:eastAsia="Times New Roman"/>
          <w:sz w:val="20"/>
          <w:szCs w:val="20"/>
        </w:rPr>
        <w:t xml:space="preserve">, </w:t>
      </w:r>
      <w:r w:rsidR="003237D4" w:rsidRPr="00506F50">
        <w:rPr>
          <w:rFonts w:eastAsia="Times New Roman"/>
          <w:smallCaps/>
          <w:sz w:val="20"/>
          <w:szCs w:val="20"/>
        </w:rPr>
        <w:t>American Bar Assoc</w:t>
      </w:r>
      <w:r w:rsidR="005E2370" w:rsidRPr="00506F50">
        <w:rPr>
          <w:rFonts w:eastAsia="Times New Roman"/>
          <w:sz w:val="20"/>
          <w:szCs w:val="20"/>
        </w:rPr>
        <w:t xml:space="preserve">. </w:t>
      </w:r>
      <w:r w:rsidR="00D24C71" w:rsidRPr="00506F50">
        <w:rPr>
          <w:rFonts w:eastAsia="Times New Roman"/>
          <w:sz w:val="20"/>
          <w:szCs w:val="20"/>
        </w:rPr>
        <w:t>12</w:t>
      </w:r>
      <w:r w:rsidR="00457E46" w:rsidRPr="00506F50">
        <w:rPr>
          <w:rFonts w:eastAsia="Times New Roman"/>
          <w:sz w:val="20"/>
          <w:szCs w:val="20"/>
        </w:rPr>
        <w:t xml:space="preserve"> </w:t>
      </w:r>
      <w:r w:rsidR="003237D4" w:rsidRPr="00506F50">
        <w:rPr>
          <w:rFonts w:eastAsia="Times New Roman"/>
          <w:sz w:val="20"/>
          <w:szCs w:val="20"/>
        </w:rPr>
        <w:t>(</w:t>
      </w:r>
      <w:r w:rsidR="00457E46" w:rsidRPr="00506F50">
        <w:rPr>
          <w:rFonts w:eastAsia="Times New Roman"/>
          <w:sz w:val="20"/>
          <w:szCs w:val="20"/>
        </w:rPr>
        <w:t xml:space="preserve">Oct. 15, </w:t>
      </w:r>
      <w:r w:rsidR="003237D4" w:rsidRPr="00506F50">
        <w:rPr>
          <w:rFonts w:eastAsia="Times New Roman"/>
          <w:sz w:val="20"/>
          <w:szCs w:val="20"/>
        </w:rPr>
        <w:t>2014),</w:t>
      </w:r>
      <w:r w:rsidR="005E2370" w:rsidRPr="00506F50">
        <w:rPr>
          <w:rFonts w:eastAsia="Times New Roman"/>
          <w:sz w:val="20"/>
          <w:szCs w:val="20"/>
        </w:rPr>
        <w:t xml:space="preserve"> </w:t>
      </w:r>
      <w:hyperlink r:id="rId1" w:tgtFrame="_blank" w:history="1">
        <w:r w:rsidR="003237D4" w:rsidRPr="00506F50">
          <w:rPr>
            <w:rStyle w:val="Hyperlink"/>
            <w:rFonts w:eastAsia="Times New Roman"/>
            <w:color w:val="000000" w:themeColor="text1"/>
            <w:sz w:val="20"/>
            <w:szCs w:val="20"/>
            <w:u w:val="none"/>
          </w:rPr>
          <w:t>http://www.americanbar.org/content/dam/aba/administrative/franchising/materials2014/w4.authcheckdam.pdf</w:t>
        </w:r>
      </w:hyperlink>
      <w:r w:rsidR="004F72B0" w:rsidRPr="00506F50">
        <w:rPr>
          <w:rFonts w:eastAsia="Times New Roman"/>
          <w:color w:val="000000" w:themeColor="text1"/>
          <w:sz w:val="20"/>
          <w:szCs w:val="20"/>
        </w:rPr>
        <w:t>.</w:t>
      </w:r>
      <w:r w:rsidR="00D6023D" w:rsidRPr="00506F50">
        <w:rPr>
          <w:rFonts w:eastAsia="Times New Roman"/>
          <w:vanish/>
          <w:sz w:val="20"/>
          <w:szCs w:val="20"/>
        </w:rPr>
        <w:cr/>
        <w:t xml:space="preserve">(West 2016). place of business.fice in NJ is a qualifying place of business."laintiff to cure deficiencies in its NJFPA claim, </w:t>
      </w:r>
    </w:p>
  </w:footnote>
  <w:footnote w:id="3">
    <w:p w14:paraId="27D3D5C7" w14:textId="77777777" w:rsidR="009D416F" w:rsidRPr="008F49B1" w:rsidRDefault="009D416F" w:rsidP="009D416F">
      <w:pPr>
        <w:pStyle w:val="FootnoteText"/>
        <w:rPr>
          <w:sz w:val="40"/>
          <w:szCs w:val="40"/>
        </w:rPr>
      </w:pPr>
      <w:r w:rsidRPr="009F70F7">
        <w:rPr>
          <w:rStyle w:val="FootnoteReference"/>
        </w:rPr>
        <w:footnoteRef/>
      </w:r>
      <w:r w:rsidRPr="009F70F7">
        <w:t xml:space="preserve"> </w:t>
      </w:r>
      <w:r>
        <w:rPr>
          <w:i/>
          <w:iCs/>
          <w:color w:val="000000"/>
        </w:rPr>
        <w:t>Kindred Nursing, L.P. v</w:t>
      </w:r>
      <w:r w:rsidRPr="009F70F7">
        <w:rPr>
          <w:color w:val="000000"/>
        </w:rPr>
        <w:t>.</w:t>
      </w:r>
      <w:r w:rsidRPr="009F70F7">
        <w:rPr>
          <w:rStyle w:val="apple-converted-space"/>
          <w:color w:val="000000"/>
        </w:rPr>
        <w:t> </w:t>
      </w:r>
      <w:r>
        <w:rPr>
          <w:i/>
          <w:iCs/>
          <w:color w:val="000000"/>
        </w:rPr>
        <w:t>Clark</w:t>
      </w:r>
      <w:r>
        <w:rPr>
          <w:color w:val="000000"/>
        </w:rPr>
        <w:t>, No. 16-32, 581</w:t>
      </w:r>
      <w:r w:rsidRPr="009F70F7">
        <w:rPr>
          <w:color w:val="000000"/>
        </w:rPr>
        <w:t xml:space="preserve"> U. S. </w:t>
      </w:r>
      <w:r>
        <w:rPr>
          <w:color w:val="000000"/>
        </w:rPr>
        <w:t>___ (2017)</w:t>
      </w:r>
      <w:r w:rsidRPr="009F70F7">
        <w:rPr>
          <w:color w:val="000000"/>
        </w:rPr>
        <w:t>.</w:t>
      </w:r>
    </w:p>
  </w:footnote>
  <w:footnote w:id="4">
    <w:p w14:paraId="22B9891B" w14:textId="77777777" w:rsidR="009D416F" w:rsidRPr="00C977C0" w:rsidRDefault="009D416F" w:rsidP="009D416F">
      <w:pPr>
        <w:pStyle w:val="FootnoteText"/>
      </w:pPr>
      <w:r w:rsidRPr="00C977C0">
        <w:rPr>
          <w:rStyle w:val="FootnoteReference"/>
        </w:rPr>
        <w:footnoteRef/>
      </w:r>
      <w:r w:rsidRPr="00C977C0">
        <w:rPr>
          <w:i/>
        </w:rPr>
        <w:t xml:space="preserve"> Allied-Bruce </w:t>
      </w:r>
      <w:proofErr w:type="spellStart"/>
      <w:r w:rsidRPr="00C977C0">
        <w:rPr>
          <w:i/>
        </w:rPr>
        <w:t>Terminix</w:t>
      </w:r>
      <w:proofErr w:type="spellEnd"/>
      <w:r w:rsidRPr="00C977C0">
        <w:rPr>
          <w:i/>
        </w:rPr>
        <w:t xml:space="preserve"> Cos. v. Dobson</w:t>
      </w:r>
      <w:r w:rsidRPr="00C977C0">
        <w:t>, 513 U.S. 265, 268 (1995)</w:t>
      </w:r>
      <w:r>
        <w:t xml:space="preserve">; </w:t>
      </w:r>
      <w:r w:rsidRPr="001A7E1B">
        <w:rPr>
          <w:i/>
        </w:rPr>
        <w:t>see</w:t>
      </w:r>
      <w:r>
        <w:rPr>
          <w:i/>
        </w:rPr>
        <w:t xml:space="preserve"> </w:t>
      </w:r>
      <w:r w:rsidRPr="00C977C0">
        <w:rPr>
          <w:i/>
        </w:rPr>
        <w:t>Allen v. World Inspection Network Int’l, Inc.</w:t>
      </w:r>
      <w:r w:rsidRPr="00C977C0">
        <w:t>, 389 N.J.</w:t>
      </w:r>
      <w:r>
        <w:t xml:space="preserve"> Super 115, 126 (App. Div. 2006).</w:t>
      </w:r>
    </w:p>
  </w:footnote>
  <w:footnote w:id="5">
    <w:p w14:paraId="42CD86FB" w14:textId="77777777" w:rsidR="009D416F" w:rsidRPr="00C977C0" w:rsidRDefault="009D416F" w:rsidP="009D416F">
      <w:pPr>
        <w:rPr>
          <w:sz w:val="20"/>
          <w:szCs w:val="20"/>
        </w:rPr>
      </w:pPr>
      <w:r w:rsidRPr="00C977C0">
        <w:rPr>
          <w:rStyle w:val="FootnoteReference"/>
          <w:sz w:val="20"/>
          <w:szCs w:val="20"/>
        </w:rPr>
        <w:footnoteRef/>
      </w:r>
      <w:r w:rsidRPr="00C977C0">
        <w:rPr>
          <w:sz w:val="20"/>
          <w:szCs w:val="20"/>
        </w:rPr>
        <w:t xml:space="preserve"> </w:t>
      </w:r>
      <w:r w:rsidRPr="00C977C0">
        <w:rPr>
          <w:i/>
          <w:sz w:val="20"/>
          <w:szCs w:val="20"/>
        </w:rPr>
        <w:t xml:space="preserve">Alpert v. </w:t>
      </w:r>
      <w:proofErr w:type="spellStart"/>
      <w:r w:rsidRPr="00C977C0">
        <w:rPr>
          <w:i/>
          <w:sz w:val="20"/>
          <w:szCs w:val="20"/>
        </w:rPr>
        <w:t>Alphagraphics</w:t>
      </w:r>
      <w:proofErr w:type="spellEnd"/>
      <w:r w:rsidRPr="00C977C0">
        <w:rPr>
          <w:i/>
          <w:sz w:val="20"/>
          <w:szCs w:val="20"/>
        </w:rPr>
        <w:t xml:space="preserve"> Franchising, Inc.</w:t>
      </w:r>
      <w:r w:rsidRPr="00C977C0">
        <w:rPr>
          <w:sz w:val="20"/>
          <w:szCs w:val="20"/>
        </w:rPr>
        <w:t xml:space="preserve">, 731 F. Supp. 685, 688 (D.N.J. 1990) (citing </w:t>
      </w:r>
      <w:r w:rsidRPr="001A32E2">
        <w:rPr>
          <w:i/>
          <w:sz w:val="20"/>
          <w:szCs w:val="20"/>
        </w:rPr>
        <w:t>Southland Corp. v. Keating</w:t>
      </w:r>
      <w:r w:rsidRPr="00C977C0">
        <w:rPr>
          <w:sz w:val="20"/>
          <w:szCs w:val="20"/>
        </w:rPr>
        <w:t>, 465 U.S. 1, 10 (1984)).</w:t>
      </w:r>
    </w:p>
  </w:footnote>
  <w:footnote w:id="6">
    <w:p w14:paraId="065F03BD" w14:textId="77777777" w:rsidR="001F4773" w:rsidRPr="00CC7DFD" w:rsidRDefault="001F4773" w:rsidP="001F4773">
      <w:pPr>
        <w:pStyle w:val="FootnoteText"/>
      </w:pPr>
      <w:r w:rsidRPr="00CC7DFD">
        <w:rPr>
          <w:rStyle w:val="FootnoteReference"/>
        </w:rPr>
        <w:footnoteRef/>
      </w:r>
      <w:r w:rsidRPr="00CC7DFD">
        <w:t xml:space="preserve"> </w:t>
      </w:r>
      <w:r w:rsidRPr="00CC7DFD">
        <w:rPr>
          <w:i/>
        </w:rPr>
        <w:t>Allen</w:t>
      </w:r>
      <w:r w:rsidRPr="00CC7DFD">
        <w:t xml:space="preserve">, 389 N.J. Super at 127 (construing </w:t>
      </w:r>
      <w:r w:rsidRPr="00CC7DFD">
        <w:rPr>
          <w:i/>
        </w:rPr>
        <w:t>Volt Info. Sciences, Inc. v. Bd. of Trustees of Leland Stanford Junior Univ.</w:t>
      </w:r>
      <w:r w:rsidRPr="00CC7DFD">
        <w:t>, 489 U.S. 468).</w:t>
      </w:r>
    </w:p>
  </w:footnote>
  <w:footnote w:id="7">
    <w:p w14:paraId="211AD91C" w14:textId="243B0390" w:rsidR="002F205A" w:rsidRPr="00CC7DFD" w:rsidRDefault="002F205A">
      <w:pPr>
        <w:pStyle w:val="FootnoteText"/>
      </w:pPr>
      <w:r w:rsidRPr="00CC7DFD">
        <w:rPr>
          <w:rStyle w:val="FootnoteReference"/>
        </w:rPr>
        <w:footnoteRef/>
      </w:r>
      <w:r w:rsidRPr="00CC7DFD">
        <w:t xml:space="preserve"> </w:t>
      </w:r>
      <w:r w:rsidRPr="00CC7DFD">
        <w:rPr>
          <w:i/>
          <w:iCs/>
          <w:color w:val="000000"/>
        </w:rPr>
        <w:t>AT&amp;T Mobility LLC</w:t>
      </w:r>
      <w:r w:rsidR="00CC7DFD">
        <w:rPr>
          <w:i/>
          <w:iCs/>
          <w:color w:val="000000"/>
        </w:rPr>
        <w:t xml:space="preserve"> </w:t>
      </w:r>
      <w:r w:rsidRPr="00CC7DFD">
        <w:rPr>
          <w:color w:val="000000"/>
        </w:rPr>
        <w:t>v.</w:t>
      </w:r>
      <w:r w:rsidRPr="00CC7DFD">
        <w:rPr>
          <w:rStyle w:val="apple-converted-space"/>
          <w:color w:val="000000"/>
        </w:rPr>
        <w:t> </w:t>
      </w:r>
      <w:r w:rsidRPr="00CC7DFD">
        <w:rPr>
          <w:i/>
          <w:iCs/>
          <w:color w:val="000000"/>
        </w:rPr>
        <w:t>Concepcion</w:t>
      </w:r>
      <w:r w:rsidRPr="00CC7DFD">
        <w:rPr>
          <w:color w:val="000000"/>
        </w:rPr>
        <w:t>, 563 U. S. 333</w:t>
      </w:r>
      <w:r w:rsidR="00CC7DFD">
        <w:rPr>
          <w:color w:val="000000"/>
        </w:rPr>
        <w:t>, 339 (2011)</w:t>
      </w:r>
      <w:r w:rsidRPr="00CC7DFD">
        <w:rPr>
          <w:color w:val="000000"/>
        </w:rPr>
        <w:t>.</w:t>
      </w:r>
    </w:p>
  </w:footnote>
  <w:footnote w:id="8">
    <w:p w14:paraId="41D1C2B3" w14:textId="77777777" w:rsidR="00962E29" w:rsidRPr="00CC7DFD" w:rsidRDefault="00962E29" w:rsidP="00962E29">
      <w:pPr>
        <w:rPr>
          <w:rFonts w:eastAsia="Times New Roman"/>
        </w:rPr>
      </w:pPr>
      <w:r w:rsidRPr="00CC7DFD">
        <w:rPr>
          <w:rStyle w:val="FootnoteReference"/>
          <w:sz w:val="20"/>
          <w:szCs w:val="20"/>
        </w:rPr>
        <w:footnoteRef/>
      </w:r>
      <w:r w:rsidRPr="00CC7DFD">
        <w:rPr>
          <w:sz w:val="20"/>
          <w:szCs w:val="20"/>
        </w:rPr>
        <w:t xml:space="preserve"> </w:t>
      </w:r>
      <w:r w:rsidRPr="00CC7DFD">
        <w:rPr>
          <w:i/>
          <w:sz w:val="20"/>
          <w:szCs w:val="20"/>
        </w:rPr>
        <w:t>Id.</w:t>
      </w:r>
      <w:r w:rsidRPr="00CC7DFD">
        <w:rPr>
          <w:sz w:val="20"/>
          <w:szCs w:val="20"/>
        </w:rPr>
        <w:t xml:space="preserve"> at 128-29.</w:t>
      </w:r>
    </w:p>
  </w:footnote>
  <w:footnote w:id="9">
    <w:p w14:paraId="74793027" w14:textId="335FE34F" w:rsidR="00AD7A29" w:rsidRPr="00C977C0" w:rsidRDefault="00AD7A29" w:rsidP="00AD7A29">
      <w:pPr>
        <w:rPr>
          <w:sz w:val="20"/>
          <w:szCs w:val="20"/>
        </w:rPr>
      </w:pPr>
      <w:r w:rsidRPr="00CC7DFD">
        <w:rPr>
          <w:rStyle w:val="FootnoteReference"/>
          <w:sz w:val="20"/>
          <w:szCs w:val="20"/>
        </w:rPr>
        <w:footnoteRef/>
      </w:r>
      <w:r w:rsidRPr="00CC7DFD">
        <w:rPr>
          <w:sz w:val="20"/>
          <w:szCs w:val="20"/>
        </w:rPr>
        <w:t xml:space="preserve"> </w:t>
      </w:r>
      <w:r w:rsidRPr="00CC7DFD">
        <w:rPr>
          <w:i/>
          <w:sz w:val="20"/>
          <w:szCs w:val="20"/>
        </w:rPr>
        <w:t>Central Jersey Freightliner</w:t>
      </w:r>
      <w:r w:rsidRPr="00F76FC9">
        <w:rPr>
          <w:i/>
          <w:sz w:val="20"/>
          <w:szCs w:val="20"/>
        </w:rPr>
        <w:t>, Inc.</w:t>
      </w:r>
      <w:r w:rsidR="00CC7DFD">
        <w:rPr>
          <w:i/>
          <w:sz w:val="20"/>
          <w:szCs w:val="20"/>
        </w:rPr>
        <w:t xml:space="preserve"> v</w:t>
      </w:r>
      <w:r w:rsidR="00CC7DFD" w:rsidRPr="00CC7DFD">
        <w:rPr>
          <w:i/>
          <w:sz w:val="20"/>
          <w:szCs w:val="20"/>
        </w:rPr>
        <w:t>.</w:t>
      </w:r>
      <w:r w:rsidR="00CC7DFD">
        <w:rPr>
          <w:i/>
          <w:sz w:val="20"/>
          <w:szCs w:val="20"/>
        </w:rPr>
        <w:t xml:space="preserve"> </w:t>
      </w:r>
      <w:r w:rsidR="00CC7DFD" w:rsidRPr="00CC7DFD">
        <w:rPr>
          <w:i/>
          <w:sz w:val="20"/>
          <w:szCs w:val="20"/>
        </w:rPr>
        <w:t xml:space="preserve">Freightliner </w:t>
      </w:r>
      <w:proofErr w:type="gramStart"/>
      <w:r w:rsidR="00CC7DFD" w:rsidRPr="00CC7DFD">
        <w:rPr>
          <w:i/>
          <w:sz w:val="20"/>
          <w:szCs w:val="20"/>
        </w:rPr>
        <w:t xml:space="preserve">Corp </w:t>
      </w:r>
      <w:r w:rsidRPr="00CC7DFD">
        <w:rPr>
          <w:i/>
          <w:sz w:val="20"/>
          <w:szCs w:val="20"/>
        </w:rPr>
        <w:t>,</w:t>
      </w:r>
      <w:proofErr w:type="gramEnd"/>
      <w:r w:rsidRPr="00F76FC9">
        <w:rPr>
          <w:i/>
          <w:sz w:val="20"/>
          <w:szCs w:val="20"/>
        </w:rPr>
        <w:t xml:space="preserve"> </w:t>
      </w:r>
      <w:r w:rsidRPr="00F76FC9">
        <w:rPr>
          <w:sz w:val="20"/>
          <w:szCs w:val="20"/>
        </w:rPr>
        <w:t>987 F. Supp. 289, 300 (D.N.J. 1997).</w:t>
      </w:r>
    </w:p>
  </w:footnote>
  <w:footnote w:id="10">
    <w:p w14:paraId="2727230C" w14:textId="77777777" w:rsidR="00962E29" w:rsidRPr="00CC7DFD" w:rsidRDefault="00962E29" w:rsidP="00962E29">
      <w:pPr>
        <w:pStyle w:val="FootnoteText"/>
      </w:pPr>
      <w:r w:rsidRPr="00CC7DFD">
        <w:rPr>
          <w:rStyle w:val="FootnoteReference"/>
        </w:rPr>
        <w:footnoteRef/>
      </w:r>
      <w:r w:rsidRPr="00CC7DFD">
        <w:t xml:space="preserve"> </w:t>
      </w:r>
      <w:r w:rsidRPr="00CC7DFD">
        <w:rPr>
          <w:i/>
        </w:rPr>
        <w:t>Id.</w:t>
      </w:r>
      <w:r w:rsidRPr="00CC7DFD">
        <w:t xml:space="preserve"> at 129.</w:t>
      </w:r>
    </w:p>
  </w:footnote>
  <w:footnote w:id="11">
    <w:p w14:paraId="1380E5B4" w14:textId="34DAFA60" w:rsidR="00CC7DFD" w:rsidRDefault="00CC7DFD">
      <w:pPr>
        <w:pStyle w:val="FootnoteText"/>
      </w:pPr>
      <w:r>
        <w:rPr>
          <w:rStyle w:val="FootnoteReference"/>
        </w:rPr>
        <w:footnoteRef/>
      </w:r>
      <w:r>
        <w:t xml:space="preserve"> </w:t>
      </w:r>
      <w:r w:rsidRPr="00CC7DFD">
        <w:rPr>
          <w:i/>
        </w:rPr>
        <w:t>Id.</w:t>
      </w:r>
    </w:p>
  </w:footnote>
  <w:footnote w:id="12">
    <w:p w14:paraId="13E1B316" w14:textId="3C836BCF" w:rsidR="00A62A62" w:rsidRDefault="00A62A62">
      <w:pPr>
        <w:pStyle w:val="FootnoteText"/>
      </w:pPr>
      <w:r w:rsidRPr="00CC7DFD">
        <w:rPr>
          <w:rStyle w:val="FootnoteReference"/>
        </w:rPr>
        <w:footnoteRef/>
      </w:r>
      <w:r w:rsidRPr="00CC7DFD">
        <w:t xml:space="preserve"> </w:t>
      </w:r>
      <w:proofErr w:type="spellStart"/>
      <w:r w:rsidRPr="00CC7DFD">
        <w:rPr>
          <w:rStyle w:val="Emphasis"/>
          <w:rFonts w:eastAsia="Times New Roman"/>
          <w:color w:val="202020"/>
          <w:spacing w:val="-3"/>
          <w:shd w:val="clear" w:color="auto" w:fill="FFFFFF"/>
        </w:rPr>
        <w:t>Atalese</w:t>
      </w:r>
      <w:proofErr w:type="spellEnd"/>
      <w:r w:rsidRPr="00CC7DFD">
        <w:rPr>
          <w:rStyle w:val="Emphasis"/>
          <w:rFonts w:eastAsia="Times New Roman"/>
          <w:color w:val="202020"/>
          <w:spacing w:val="-3"/>
          <w:shd w:val="clear" w:color="auto" w:fill="FFFFFF"/>
        </w:rPr>
        <w:t xml:space="preserve"> v. U.S. Legal Services Group, L.P.</w:t>
      </w:r>
      <w:r w:rsidRPr="00CC7DFD">
        <w:rPr>
          <w:rFonts w:eastAsia="Times New Roman"/>
          <w:color w:val="202020"/>
          <w:spacing w:val="-3"/>
          <w:shd w:val="clear" w:color="auto" w:fill="FFFFFF"/>
        </w:rPr>
        <w:t>, 219 N.J. 430 (2015)</w:t>
      </w:r>
      <w:r w:rsidR="009D416F" w:rsidRPr="00CC7DFD">
        <w:rPr>
          <w:rFonts w:eastAsia="Times New Roman"/>
          <w:color w:val="202020"/>
          <w:spacing w:val="-3"/>
          <w:shd w:val="clear" w:color="auto" w:fill="FFFFFF"/>
        </w:rPr>
        <w:t>.</w:t>
      </w:r>
    </w:p>
  </w:footnote>
  <w:footnote w:id="13">
    <w:p w14:paraId="457F003D" w14:textId="4C0166BF" w:rsidR="00176578" w:rsidRPr="007F3006" w:rsidRDefault="00176578">
      <w:pPr>
        <w:pStyle w:val="FootnoteText"/>
      </w:pPr>
      <w:r>
        <w:rPr>
          <w:rStyle w:val="FootnoteReference"/>
        </w:rPr>
        <w:footnoteRef/>
      </w:r>
      <w:r>
        <w:t xml:space="preserve"> </w:t>
      </w:r>
      <w:r w:rsidR="007F3006">
        <w:rPr>
          <w:i/>
        </w:rPr>
        <w:t xml:space="preserve">Kindred Nursing, </w:t>
      </w:r>
      <w:r w:rsidR="007F3006">
        <w:t>581 U.S. ___ (2017) (slip op. at 2-3).</w:t>
      </w:r>
    </w:p>
  </w:footnote>
  <w:footnote w:id="14">
    <w:p w14:paraId="72131BC3" w14:textId="0F209BDE" w:rsidR="007F3006" w:rsidRPr="007F3006" w:rsidRDefault="00465453">
      <w:pPr>
        <w:pStyle w:val="FootnoteText"/>
      </w:pPr>
      <w:r>
        <w:rPr>
          <w:rStyle w:val="FootnoteReference"/>
        </w:rPr>
        <w:footnoteRef/>
      </w:r>
      <w:r>
        <w:t xml:space="preserve"> </w:t>
      </w:r>
      <w:r w:rsidR="007F3006">
        <w:rPr>
          <w:i/>
        </w:rPr>
        <w:t>Id.</w:t>
      </w:r>
      <w:r w:rsidR="007F3006">
        <w:t xml:space="preserve"> at 3.</w:t>
      </w:r>
    </w:p>
  </w:footnote>
  <w:footnote w:id="15">
    <w:p w14:paraId="29F9D304" w14:textId="654FCBC9" w:rsidR="00465453" w:rsidRPr="007F3006" w:rsidRDefault="00465453">
      <w:pPr>
        <w:pStyle w:val="FootnoteText"/>
      </w:pPr>
      <w:r>
        <w:rPr>
          <w:rStyle w:val="FootnoteReference"/>
        </w:rPr>
        <w:footnoteRef/>
      </w:r>
      <w:r>
        <w:t xml:space="preserve"> </w:t>
      </w:r>
      <w:r w:rsidR="007F3006">
        <w:rPr>
          <w:i/>
        </w:rPr>
        <w:t>Id.</w:t>
      </w:r>
      <w:r w:rsidR="007F3006">
        <w:t xml:space="preserve"> at 4.</w:t>
      </w:r>
    </w:p>
  </w:footnote>
  <w:footnote w:id="16">
    <w:p w14:paraId="0C5E9DA0" w14:textId="052D1B76" w:rsidR="009D416F" w:rsidRPr="007F3006" w:rsidRDefault="009D416F">
      <w:pPr>
        <w:pStyle w:val="FootnoteText"/>
      </w:pPr>
      <w:r>
        <w:rPr>
          <w:rStyle w:val="FootnoteReference"/>
        </w:rPr>
        <w:footnoteRef/>
      </w:r>
      <w:r>
        <w:t xml:space="preserve"> </w:t>
      </w:r>
      <w:r w:rsidR="007F3006">
        <w:rPr>
          <w:i/>
        </w:rPr>
        <w:t>Id.</w:t>
      </w:r>
      <w:r w:rsidR="007F3006">
        <w:t xml:space="preserve"> at 5 (citing Extendicare Homes, Inc. v. </w:t>
      </w:r>
      <w:proofErr w:type="spellStart"/>
      <w:r w:rsidR="007F3006">
        <w:t>Whisman</w:t>
      </w:r>
      <w:proofErr w:type="spellEnd"/>
      <w:r w:rsidR="007F3006">
        <w:t>, 478 S.W.3d 306, 328-29 (2015</w:t>
      </w:r>
      <w:proofErr w:type="gramStart"/>
      <w:r w:rsidR="007F3006">
        <w:t>)(</w:t>
      </w:r>
      <w:proofErr w:type="gramEnd"/>
      <w:r w:rsidR="007F3006">
        <w:t xml:space="preserve">quoting Ky. Const. </w:t>
      </w:r>
      <w:r w:rsidR="007F3006" w:rsidRPr="00A83B90">
        <w:rPr>
          <w:sz w:val="24"/>
          <w:szCs w:val="24"/>
        </w:rPr>
        <w:t>§</w:t>
      </w:r>
      <w:r w:rsidR="007F3006">
        <w:t>7).</w:t>
      </w:r>
    </w:p>
  </w:footnote>
  <w:footnote w:id="17">
    <w:p w14:paraId="7A34E248" w14:textId="2834A165" w:rsidR="009D416F" w:rsidRDefault="009D416F">
      <w:pPr>
        <w:pStyle w:val="FootnoteText"/>
      </w:pPr>
      <w:r>
        <w:rPr>
          <w:rStyle w:val="FootnoteReference"/>
        </w:rPr>
        <w:footnoteRef/>
      </w:r>
      <w:r>
        <w:t xml:space="preserve"> </w:t>
      </w:r>
      <w:r w:rsidR="007F3006">
        <w:rPr>
          <w:i/>
        </w:rPr>
        <w:t>Id.</w:t>
      </w:r>
      <w:r w:rsidR="007F3006">
        <w:t xml:space="preserve"> at 6.</w:t>
      </w:r>
    </w:p>
  </w:footnote>
  <w:footnote w:id="18">
    <w:p w14:paraId="317B01C7" w14:textId="5020670A" w:rsidR="009D416F" w:rsidRDefault="009D416F">
      <w:pPr>
        <w:pStyle w:val="FootnoteText"/>
      </w:pPr>
      <w:r>
        <w:rPr>
          <w:rStyle w:val="FootnoteReference"/>
        </w:rPr>
        <w:footnoteRef/>
      </w:r>
      <w:r>
        <w:t xml:space="preserve"> </w:t>
      </w:r>
      <w:r w:rsidR="007F3006">
        <w:rPr>
          <w:i/>
        </w:rPr>
        <w:t>Id.</w:t>
      </w:r>
      <w:r w:rsidR="007F3006">
        <w:t xml:space="preserve"> at 5.</w:t>
      </w:r>
    </w:p>
  </w:footnote>
  <w:footnote w:id="19">
    <w:p w14:paraId="3B631B2F" w14:textId="77777777" w:rsidR="005718E3" w:rsidRPr="00C977C0" w:rsidRDefault="005718E3" w:rsidP="005718E3">
      <w:pPr>
        <w:pStyle w:val="FootnoteText"/>
      </w:pPr>
      <w:r w:rsidRPr="00C977C0">
        <w:rPr>
          <w:rStyle w:val="FootnoteReference"/>
        </w:rPr>
        <w:footnoteRef/>
      </w:r>
      <w:r w:rsidRPr="00C977C0">
        <w:t xml:space="preserve"> </w:t>
      </w:r>
      <w:r>
        <w:rPr>
          <w:i/>
        </w:rPr>
        <w:t>Id</w:t>
      </w:r>
      <w:r w:rsidRPr="00C977C0">
        <w:t xml:space="preserve">. at 300; </w:t>
      </w:r>
      <w:r w:rsidRPr="00C977C0">
        <w:rPr>
          <w:i/>
        </w:rPr>
        <w:t xml:space="preserve">see also </w:t>
      </w:r>
      <w:r w:rsidRPr="00C977C0">
        <w:rPr>
          <w:rFonts w:eastAsia="Times New Roman"/>
          <w:i/>
        </w:rPr>
        <w:t>Doctor's Associates, Inc. v. Hamilton</w:t>
      </w:r>
      <w:r w:rsidRPr="00C977C0">
        <w:rPr>
          <w:rFonts w:eastAsia="Times New Roman"/>
        </w:rPr>
        <w:t xml:space="preserve">, 150 F.3d 157, 163 (2d Cir. 1998) (“to the extent that </w:t>
      </w:r>
      <w:proofErr w:type="spellStart"/>
      <w:r w:rsidRPr="00C977C0">
        <w:rPr>
          <w:rFonts w:eastAsia="Times New Roman"/>
          <w:i/>
          <w:iCs/>
        </w:rPr>
        <w:t>Kubis</w:t>
      </w:r>
      <w:proofErr w:type="spellEnd"/>
      <w:r w:rsidRPr="00C977C0">
        <w:rPr>
          <w:rFonts w:eastAsia="Times New Roman"/>
        </w:rPr>
        <w:t xml:space="preserve"> can be re</w:t>
      </w:r>
      <w:r>
        <w:rPr>
          <w:rFonts w:eastAsia="Times New Roman"/>
        </w:rPr>
        <w:t>ad to invalidate arbitral forum-</w:t>
      </w:r>
      <w:r w:rsidRPr="00C977C0">
        <w:rPr>
          <w:rFonts w:eastAsia="Times New Roman"/>
        </w:rPr>
        <w:t>selection clauses in franchise agreements, it is preempted by the FAA.”)</w:t>
      </w:r>
      <w:r>
        <w:rPr>
          <w:rFonts w:eastAsia="Times New Roman"/>
        </w:rPr>
        <w:t xml:space="preserve">; </w:t>
      </w:r>
      <w:r w:rsidRPr="00C977C0">
        <w:t>New Jersey courts have acknowledged and affirmed this holding of federal preemption, though they have noted that common law contract defenses may still apply to invalidate arbitration provisi</w:t>
      </w:r>
      <w:r>
        <w:t>ons under certain circumstances, s</w:t>
      </w:r>
      <w:r w:rsidRPr="00C977C0">
        <w:rPr>
          <w:i/>
        </w:rPr>
        <w:t>ee</w:t>
      </w:r>
      <w:r w:rsidRPr="00C977C0">
        <w:t xml:space="preserve"> </w:t>
      </w:r>
      <w:r w:rsidRPr="00C977C0">
        <w:rPr>
          <w:rFonts w:eastAsia="Times New Roman"/>
          <w:i/>
        </w:rPr>
        <w:t>B &amp; S Ltd., Inc. v. Elephant &amp; Castle Int'l, Inc.</w:t>
      </w:r>
      <w:r w:rsidRPr="00C977C0">
        <w:rPr>
          <w:rFonts w:eastAsia="Times New Roman"/>
        </w:rPr>
        <w:t>, 388 N.J. Super. 160, 175 (Ch. Div. 2006) (“</w:t>
      </w:r>
      <w:r w:rsidRPr="00C977C0">
        <w:rPr>
          <w:color w:val="252525"/>
        </w:rPr>
        <w:t>While the arbitral f</w:t>
      </w:r>
      <w:r>
        <w:rPr>
          <w:color w:val="252525"/>
        </w:rPr>
        <w:t>orum-</w:t>
      </w:r>
      <w:r w:rsidRPr="00C977C0">
        <w:rPr>
          <w:color w:val="252525"/>
        </w:rPr>
        <w:t>selection clause is not presumptively invalid under the</w:t>
      </w:r>
      <w:r w:rsidRPr="00C977C0">
        <w:rPr>
          <w:rStyle w:val="apple-converted-space"/>
          <w:color w:val="252525"/>
        </w:rPr>
        <w:t> </w:t>
      </w:r>
      <w:proofErr w:type="spellStart"/>
      <w:r w:rsidRPr="00C977C0">
        <w:rPr>
          <w:rStyle w:val="Emphasis"/>
          <w:color w:val="252525"/>
        </w:rPr>
        <w:t>Kubis</w:t>
      </w:r>
      <w:proofErr w:type="spellEnd"/>
      <w:r w:rsidRPr="00C977C0">
        <w:rPr>
          <w:rStyle w:val="apple-converted-space"/>
          <w:color w:val="252525"/>
        </w:rPr>
        <w:t> </w:t>
      </w:r>
      <w:r w:rsidRPr="00C977C0">
        <w:rPr>
          <w:color w:val="252525"/>
        </w:rPr>
        <w:t xml:space="preserve">decision, . . . </w:t>
      </w:r>
      <w:r w:rsidRPr="00C977C0">
        <w:rPr>
          <w:rFonts w:eastAsia="Times New Roman"/>
        </w:rPr>
        <w:t>New Jersey state contract law will be applied to analyze whether the arbitratio</w:t>
      </w:r>
      <w:r>
        <w:rPr>
          <w:rFonts w:eastAsia="Times New Roman"/>
        </w:rPr>
        <w:t>n clause and the arbitral forum-</w:t>
      </w:r>
      <w:r w:rsidRPr="00C977C0">
        <w:rPr>
          <w:rFonts w:eastAsia="Times New Roman"/>
        </w:rPr>
        <w:t>selection clause are enforceable.”).</w:t>
      </w:r>
      <w:r w:rsidRPr="00C977C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93847"/>
    <w:multiLevelType w:val="hybridMultilevel"/>
    <w:tmpl w:val="14FA27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87F97"/>
    <w:multiLevelType w:val="hybridMultilevel"/>
    <w:tmpl w:val="708E538E"/>
    <w:lvl w:ilvl="0" w:tplc="32401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853E6"/>
    <w:multiLevelType w:val="hybridMultilevel"/>
    <w:tmpl w:val="679C4722"/>
    <w:lvl w:ilvl="0" w:tplc="CF186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AA"/>
    <w:rsid w:val="0001465E"/>
    <w:rsid w:val="00015A95"/>
    <w:rsid w:val="00031AD8"/>
    <w:rsid w:val="0005066C"/>
    <w:rsid w:val="00081323"/>
    <w:rsid w:val="00087202"/>
    <w:rsid w:val="000B37CE"/>
    <w:rsid w:val="000C2FBD"/>
    <w:rsid w:val="000C7222"/>
    <w:rsid w:val="001026A3"/>
    <w:rsid w:val="0012514B"/>
    <w:rsid w:val="001434B8"/>
    <w:rsid w:val="00164667"/>
    <w:rsid w:val="00164825"/>
    <w:rsid w:val="001700AA"/>
    <w:rsid w:val="00176578"/>
    <w:rsid w:val="00183352"/>
    <w:rsid w:val="001833EF"/>
    <w:rsid w:val="001871D2"/>
    <w:rsid w:val="00192941"/>
    <w:rsid w:val="001A32E2"/>
    <w:rsid w:val="001A6F42"/>
    <w:rsid w:val="001A7E1B"/>
    <w:rsid w:val="001C1AD3"/>
    <w:rsid w:val="001E6B9A"/>
    <w:rsid w:val="001E72EE"/>
    <w:rsid w:val="001F3288"/>
    <w:rsid w:val="001F4773"/>
    <w:rsid w:val="001F636F"/>
    <w:rsid w:val="00221081"/>
    <w:rsid w:val="00223419"/>
    <w:rsid w:val="00223A72"/>
    <w:rsid w:val="0025400F"/>
    <w:rsid w:val="002B2CEB"/>
    <w:rsid w:val="002B56C1"/>
    <w:rsid w:val="002D7AB1"/>
    <w:rsid w:val="002E2FBA"/>
    <w:rsid w:val="002F205A"/>
    <w:rsid w:val="0031014C"/>
    <w:rsid w:val="003159D9"/>
    <w:rsid w:val="003237D4"/>
    <w:rsid w:val="00366C2B"/>
    <w:rsid w:val="00370047"/>
    <w:rsid w:val="003749A2"/>
    <w:rsid w:val="0039035F"/>
    <w:rsid w:val="00396957"/>
    <w:rsid w:val="003E3E65"/>
    <w:rsid w:val="003F110F"/>
    <w:rsid w:val="00416E2F"/>
    <w:rsid w:val="0041746A"/>
    <w:rsid w:val="00453D1A"/>
    <w:rsid w:val="00457E46"/>
    <w:rsid w:val="004600C5"/>
    <w:rsid w:val="00465453"/>
    <w:rsid w:val="004729E1"/>
    <w:rsid w:val="00475CF3"/>
    <w:rsid w:val="004B58AA"/>
    <w:rsid w:val="004C26A1"/>
    <w:rsid w:val="004C5365"/>
    <w:rsid w:val="004F72B0"/>
    <w:rsid w:val="00506F50"/>
    <w:rsid w:val="00507150"/>
    <w:rsid w:val="0052411C"/>
    <w:rsid w:val="00556803"/>
    <w:rsid w:val="005718E3"/>
    <w:rsid w:val="00571D7D"/>
    <w:rsid w:val="005A6C96"/>
    <w:rsid w:val="005C439E"/>
    <w:rsid w:val="005E2370"/>
    <w:rsid w:val="00606E1D"/>
    <w:rsid w:val="006703A7"/>
    <w:rsid w:val="006C26B3"/>
    <w:rsid w:val="006D5882"/>
    <w:rsid w:val="006F3D3C"/>
    <w:rsid w:val="007216A3"/>
    <w:rsid w:val="00754E09"/>
    <w:rsid w:val="00763CC2"/>
    <w:rsid w:val="00781D4F"/>
    <w:rsid w:val="007A1BCB"/>
    <w:rsid w:val="007B1BC0"/>
    <w:rsid w:val="007C339B"/>
    <w:rsid w:val="007E15BD"/>
    <w:rsid w:val="007F077F"/>
    <w:rsid w:val="007F3006"/>
    <w:rsid w:val="00800E8A"/>
    <w:rsid w:val="0082782C"/>
    <w:rsid w:val="00856BF7"/>
    <w:rsid w:val="00856E17"/>
    <w:rsid w:val="008F49B1"/>
    <w:rsid w:val="00942395"/>
    <w:rsid w:val="00962E29"/>
    <w:rsid w:val="009B0742"/>
    <w:rsid w:val="009D416F"/>
    <w:rsid w:val="009D64E4"/>
    <w:rsid w:val="009F70F7"/>
    <w:rsid w:val="00A413AE"/>
    <w:rsid w:val="00A44D66"/>
    <w:rsid w:val="00A620BC"/>
    <w:rsid w:val="00A62A62"/>
    <w:rsid w:val="00A667B1"/>
    <w:rsid w:val="00A73F59"/>
    <w:rsid w:val="00A83B90"/>
    <w:rsid w:val="00AB32B3"/>
    <w:rsid w:val="00AC78A2"/>
    <w:rsid w:val="00AD42E2"/>
    <w:rsid w:val="00AD7A29"/>
    <w:rsid w:val="00AF2AA1"/>
    <w:rsid w:val="00B30B61"/>
    <w:rsid w:val="00B350AA"/>
    <w:rsid w:val="00B546A4"/>
    <w:rsid w:val="00B673B4"/>
    <w:rsid w:val="00BA5E28"/>
    <w:rsid w:val="00BD1B92"/>
    <w:rsid w:val="00BD4F6C"/>
    <w:rsid w:val="00BD667B"/>
    <w:rsid w:val="00BD7254"/>
    <w:rsid w:val="00BE441A"/>
    <w:rsid w:val="00C31B9D"/>
    <w:rsid w:val="00C803F1"/>
    <w:rsid w:val="00C82014"/>
    <w:rsid w:val="00C90766"/>
    <w:rsid w:val="00C91B70"/>
    <w:rsid w:val="00CA6542"/>
    <w:rsid w:val="00CA7EC1"/>
    <w:rsid w:val="00CB23D5"/>
    <w:rsid w:val="00CB27C5"/>
    <w:rsid w:val="00CC7DFD"/>
    <w:rsid w:val="00D24C71"/>
    <w:rsid w:val="00D562F2"/>
    <w:rsid w:val="00D6023D"/>
    <w:rsid w:val="00D73E68"/>
    <w:rsid w:val="00D7652B"/>
    <w:rsid w:val="00D84D8A"/>
    <w:rsid w:val="00DA38EE"/>
    <w:rsid w:val="00DC6AA2"/>
    <w:rsid w:val="00DD3514"/>
    <w:rsid w:val="00DD70B1"/>
    <w:rsid w:val="00DD7EB0"/>
    <w:rsid w:val="00E03059"/>
    <w:rsid w:val="00E04550"/>
    <w:rsid w:val="00E466B6"/>
    <w:rsid w:val="00EA0917"/>
    <w:rsid w:val="00EB0A4F"/>
    <w:rsid w:val="00EB49AE"/>
    <w:rsid w:val="00ED1A49"/>
    <w:rsid w:val="00EE2375"/>
    <w:rsid w:val="00F233DA"/>
    <w:rsid w:val="00F64584"/>
    <w:rsid w:val="00F66DCC"/>
    <w:rsid w:val="00FC2AE5"/>
    <w:rsid w:val="00FE21F6"/>
    <w:rsid w:val="00FF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9E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E4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0AA"/>
    <w:rPr>
      <w:rFonts w:ascii="Times New Roman" w:hAnsi="Times New Roman" w:cs="Times New Roman"/>
    </w:rPr>
  </w:style>
  <w:style w:type="paragraph" w:styleId="FootnoteText">
    <w:name w:val="footnote text"/>
    <w:basedOn w:val="Normal"/>
    <w:link w:val="FootnoteTextChar"/>
    <w:uiPriority w:val="99"/>
    <w:unhideWhenUsed/>
    <w:rsid w:val="00B350AA"/>
    <w:rPr>
      <w:sz w:val="20"/>
      <w:szCs w:val="20"/>
    </w:rPr>
  </w:style>
  <w:style w:type="character" w:customStyle="1" w:styleId="FootnoteTextChar">
    <w:name w:val="Footnote Text Char"/>
    <w:basedOn w:val="DefaultParagraphFont"/>
    <w:link w:val="FootnoteText"/>
    <w:uiPriority w:val="99"/>
    <w:rsid w:val="00B350AA"/>
    <w:rPr>
      <w:rFonts w:ascii="Times New Roman" w:hAnsi="Times New Roman" w:cs="Times New Roman"/>
      <w:sz w:val="20"/>
      <w:szCs w:val="20"/>
    </w:rPr>
  </w:style>
  <w:style w:type="character" w:styleId="FootnoteReference">
    <w:name w:val="footnote reference"/>
    <w:basedOn w:val="DefaultParagraphFont"/>
    <w:uiPriority w:val="99"/>
    <w:unhideWhenUsed/>
    <w:rsid w:val="00B350AA"/>
    <w:rPr>
      <w:vertAlign w:val="superscript"/>
    </w:rPr>
  </w:style>
  <w:style w:type="table" w:styleId="TableGrid">
    <w:name w:val="Table Grid"/>
    <w:basedOn w:val="TableNormal"/>
    <w:uiPriority w:val="39"/>
    <w:rsid w:val="00B3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5CF3"/>
    <w:rPr>
      <w:i/>
      <w:iCs/>
    </w:rPr>
  </w:style>
  <w:style w:type="paragraph" w:styleId="Footer">
    <w:name w:val="footer"/>
    <w:basedOn w:val="Normal"/>
    <w:link w:val="FooterChar"/>
    <w:uiPriority w:val="99"/>
    <w:unhideWhenUsed/>
    <w:rsid w:val="0052411C"/>
    <w:pPr>
      <w:tabs>
        <w:tab w:val="center" w:pos="4680"/>
        <w:tab w:val="right" w:pos="9360"/>
      </w:tabs>
    </w:pPr>
  </w:style>
  <w:style w:type="character" w:customStyle="1" w:styleId="FooterChar">
    <w:name w:val="Footer Char"/>
    <w:basedOn w:val="DefaultParagraphFont"/>
    <w:link w:val="Footer"/>
    <w:uiPriority w:val="99"/>
    <w:rsid w:val="0052411C"/>
    <w:rPr>
      <w:rFonts w:ascii="Times New Roman" w:hAnsi="Times New Roman" w:cs="Times New Roman"/>
    </w:rPr>
  </w:style>
  <w:style w:type="character" w:styleId="PageNumber">
    <w:name w:val="page number"/>
    <w:basedOn w:val="DefaultParagraphFont"/>
    <w:uiPriority w:val="99"/>
    <w:semiHidden/>
    <w:unhideWhenUsed/>
    <w:rsid w:val="0052411C"/>
  </w:style>
  <w:style w:type="paragraph" w:styleId="Header">
    <w:name w:val="header"/>
    <w:basedOn w:val="Normal"/>
    <w:link w:val="HeaderChar"/>
    <w:uiPriority w:val="99"/>
    <w:unhideWhenUsed/>
    <w:rsid w:val="0052411C"/>
    <w:pPr>
      <w:tabs>
        <w:tab w:val="center" w:pos="4680"/>
        <w:tab w:val="right" w:pos="9360"/>
      </w:tabs>
    </w:pPr>
  </w:style>
  <w:style w:type="character" w:customStyle="1" w:styleId="HeaderChar">
    <w:name w:val="Header Char"/>
    <w:basedOn w:val="DefaultParagraphFont"/>
    <w:link w:val="Header"/>
    <w:uiPriority w:val="99"/>
    <w:rsid w:val="0052411C"/>
    <w:rPr>
      <w:rFonts w:ascii="Times New Roman" w:hAnsi="Times New Roman" w:cs="Times New Roman"/>
    </w:rPr>
  </w:style>
  <w:style w:type="paragraph" w:styleId="EndnoteText">
    <w:name w:val="endnote text"/>
    <w:basedOn w:val="Normal"/>
    <w:link w:val="EndnoteTextChar"/>
    <w:uiPriority w:val="99"/>
    <w:unhideWhenUsed/>
    <w:rsid w:val="00087202"/>
  </w:style>
  <w:style w:type="character" w:customStyle="1" w:styleId="EndnoteTextChar">
    <w:name w:val="Endnote Text Char"/>
    <w:basedOn w:val="DefaultParagraphFont"/>
    <w:link w:val="EndnoteText"/>
    <w:uiPriority w:val="99"/>
    <w:rsid w:val="00087202"/>
    <w:rPr>
      <w:rFonts w:ascii="Times New Roman" w:hAnsi="Times New Roman" w:cs="Times New Roman"/>
    </w:rPr>
  </w:style>
  <w:style w:type="character" w:styleId="EndnoteReference">
    <w:name w:val="endnote reference"/>
    <w:basedOn w:val="DefaultParagraphFont"/>
    <w:uiPriority w:val="99"/>
    <w:unhideWhenUsed/>
    <w:rsid w:val="00087202"/>
    <w:rPr>
      <w:vertAlign w:val="superscript"/>
    </w:rPr>
  </w:style>
  <w:style w:type="character" w:styleId="Hyperlink">
    <w:name w:val="Hyperlink"/>
    <w:basedOn w:val="DefaultParagraphFont"/>
    <w:uiPriority w:val="99"/>
    <w:semiHidden/>
    <w:unhideWhenUsed/>
    <w:rsid w:val="003237D4"/>
    <w:rPr>
      <w:color w:val="0000FF"/>
      <w:u w:val="single"/>
    </w:rPr>
  </w:style>
  <w:style w:type="character" w:styleId="FollowedHyperlink">
    <w:name w:val="FollowedHyperlink"/>
    <w:basedOn w:val="DefaultParagraphFont"/>
    <w:uiPriority w:val="99"/>
    <w:semiHidden/>
    <w:unhideWhenUsed/>
    <w:rsid w:val="003237D4"/>
    <w:rPr>
      <w:color w:val="954F72" w:themeColor="followedHyperlink"/>
      <w:u w:val="single"/>
    </w:rPr>
  </w:style>
  <w:style w:type="character" w:customStyle="1" w:styleId="apple-converted-space">
    <w:name w:val="apple-converted-space"/>
    <w:basedOn w:val="DefaultParagraphFont"/>
    <w:rsid w:val="00457E46"/>
  </w:style>
  <w:style w:type="paragraph" w:styleId="BalloonText">
    <w:name w:val="Balloon Text"/>
    <w:basedOn w:val="Normal"/>
    <w:link w:val="BalloonTextChar"/>
    <w:uiPriority w:val="99"/>
    <w:semiHidden/>
    <w:unhideWhenUsed/>
    <w:rsid w:val="006703A7"/>
    <w:rPr>
      <w:rFonts w:ascii="Tahoma" w:hAnsi="Tahoma" w:cs="Tahoma"/>
      <w:sz w:val="16"/>
      <w:szCs w:val="16"/>
    </w:rPr>
  </w:style>
  <w:style w:type="character" w:customStyle="1" w:styleId="BalloonTextChar">
    <w:name w:val="Balloon Text Char"/>
    <w:basedOn w:val="DefaultParagraphFont"/>
    <w:link w:val="BalloonText"/>
    <w:uiPriority w:val="99"/>
    <w:semiHidden/>
    <w:rsid w:val="006703A7"/>
    <w:rPr>
      <w:rFonts w:ascii="Tahoma" w:hAnsi="Tahoma" w:cs="Tahoma"/>
      <w:sz w:val="16"/>
      <w:szCs w:val="16"/>
    </w:rPr>
  </w:style>
  <w:style w:type="paragraph" w:styleId="ListParagraph">
    <w:name w:val="List Paragraph"/>
    <w:basedOn w:val="Normal"/>
    <w:uiPriority w:val="34"/>
    <w:qFormat/>
    <w:rsid w:val="005718E3"/>
    <w:pPr>
      <w:ind w:left="720"/>
      <w:contextualSpacing/>
    </w:pPr>
  </w:style>
  <w:style w:type="paragraph" w:styleId="NormalWeb">
    <w:name w:val="Normal (Web)"/>
    <w:basedOn w:val="Normal"/>
    <w:uiPriority w:val="99"/>
    <w:semiHidden/>
    <w:unhideWhenUsed/>
    <w:rsid w:val="00081323"/>
    <w:pPr>
      <w:spacing w:before="100" w:beforeAutospacing="1" w:after="100" w:afterAutospacing="1"/>
    </w:pPr>
  </w:style>
  <w:style w:type="character" w:styleId="Strong">
    <w:name w:val="Strong"/>
    <w:basedOn w:val="DefaultParagraphFont"/>
    <w:uiPriority w:val="22"/>
    <w:qFormat/>
    <w:rsid w:val="00081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5415">
      <w:bodyDiv w:val="1"/>
      <w:marLeft w:val="0"/>
      <w:marRight w:val="0"/>
      <w:marTop w:val="0"/>
      <w:marBottom w:val="0"/>
      <w:divBdr>
        <w:top w:val="none" w:sz="0" w:space="0" w:color="auto"/>
        <w:left w:val="none" w:sz="0" w:space="0" w:color="auto"/>
        <w:bottom w:val="none" w:sz="0" w:space="0" w:color="auto"/>
        <w:right w:val="none" w:sz="0" w:space="0" w:color="auto"/>
      </w:divBdr>
    </w:div>
    <w:div w:id="44572332">
      <w:bodyDiv w:val="1"/>
      <w:marLeft w:val="0"/>
      <w:marRight w:val="0"/>
      <w:marTop w:val="0"/>
      <w:marBottom w:val="0"/>
      <w:divBdr>
        <w:top w:val="none" w:sz="0" w:space="0" w:color="auto"/>
        <w:left w:val="none" w:sz="0" w:space="0" w:color="auto"/>
        <w:bottom w:val="none" w:sz="0" w:space="0" w:color="auto"/>
        <w:right w:val="none" w:sz="0" w:space="0" w:color="auto"/>
      </w:divBdr>
    </w:div>
    <w:div w:id="64376035">
      <w:bodyDiv w:val="1"/>
      <w:marLeft w:val="0"/>
      <w:marRight w:val="0"/>
      <w:marTop w:val="0"/>
      <w:marBottom w:val="0"/>
      <w:divBdr>
        <w:top w:val="none" w:sz="0" w:space="0" w:color="auto"/>
        <w:left w:val="none" w:sz="0" w:space="0" w:color="auto"/>
        <w:bottom w:val="none" w:sz="0" w:space="0" w:color="auto"/>
        <w:right w:val="none" w:sz="0" w:space="0" w:color="auto"/>
      </w:divBdr>
    </w:div>
    <w:div w:id="68969458">
      <w:bodyDiv w:val="1"/>
      <w:marLeft w:val="0"/>
      <w:marRight w:val="0"/>
      <w:marTop w:val="0"/>
      <w:marBottom w:val="0"/>
      <w:divBdr>
        <w:top w:val="none" w:sz="0" w:space="0" w:color="auto"/>
        <w:left w:val="none" w:sz="0" w:space="0" w:color="auto"/>
        <w:bottom w:val="none" w:sz="0" w:space="0" w:color="auto"/>
        <w:right w:val="none" w:sz="0" w:space="0" w:color="auto"/>
      </w:divBdr>
    </w:div>
    <w:div w:id="81730915">
      <w:bodyDiv w:val="1"/>
      <w:marLeft w:val="0"/>
      <w:marRight w:val="0"/>
      <w:marTop w:val="0"/>
      <w:marBottom w:val="0"/>
      <w:divBdr>
        <w:top w:val="none" w:sz="0" w:space="0" w:color="auto"/>
        <w:left w:val="none" w:sz="0" w:space="0" w:color="auto"/>
        <w:bottom w:val="none" w:sz="0" w:space="0" w:color="auto"/>
        <w:right w:val="none" w:sz="0" w:space="0" w:color="auto"/>
      </w:divBdr>
    </w:div>
    <w:div w:id="110252342">
      <w:bodyDiv w:val="1"/>
      <w:marLeft w:val="0"/>
      <w:marRight w:val="0"/>
      <w:marTop w:val="0"/>
      <w:marBottom w:val="0"/>
      <w:divBdr>
        <w:top w:val="none" w:sz="0" w:space="0" w:color="auto"/>
        <w:left w:val="none" w:sz="0" w:space="0" w:color="auto"/>
        <w:bottom w:val="none" w:sz="0" w:space="0" w:color="auto"/>
        <w:right w:val="none" w:sz="0" w:space="0" w:color="auto"/>
      </w:divBdr>
    </w:div>
    <w:div w:id="164824842">
      <w:bodyDiv w:val="1"/>
      <w:marLeft w:val="0"/>
      <w:marRight w:val="0"/>
      <w:marTop w:val="0"/>
      <w:marBottom w:val="0"/>
      <w:divBdr>
        <w:top w:val="none" w:sz="0" w:space="0" w:color="auto"/>
        <w:left w:val="none" w:sz="0" w:space="0" w:color="auto"/>
        <w:bottom w:val="none" w:sz="0" w:space="0" w:color="auto"/>
        <w:right w:val="none" w:sz="0" w:space="0" w:color="auto"/>
      </w:divBdr>
    </w:div>
    <w:div w:id="209536175">
      <w:bodyDiv w:val="1"/>
      <w:marLeft w:val="0"/>
      <w:marRight w:val="0"/>
      <w:marTop w:val="0"/>
      <w:marBottom w:val="0"/>
      <w:divBdr>
        <w:top w:val="none" w:sz="0" w:space="0" w:color="auto"/>
        <w:left w:val="none" w:sz="0" w:space="0" w:color="auto"/>
        <w:bottom w:val="none" w:sz="0" w:space="0" w:color="auto"/>
        <w:right w:val="none" w:sz="0" w:space="0" w:color="auto"/>
      </w:divBdr>
    </w:div>
    <w:div w:id="261036730">
      <w:bodyDiv w:val="1"/>
      <w:marLeft w:val="0"/>
      <w:marRight w:val="0"/>
      <w:marTop w:val="0"/>
      <w:marBottom w:val="0"/>
      <w:divBdr>
        <w:top w:val="none" w:sz="0" w:space="0" w:color="auto"/>
        <w:left w:val="none" w:sz="0" w:space="0" w:color="auto"/>
        <w:bottom w:val="none" w:sz="0" w:space="0" w:color="auto"/>
        <w:right w:val="none" w:sz="0" w:space="0" w:color="auto"/>
      </w:divBdr>
    </w:div>
    <w:div w:id="277760136">
      <w:bodyDiv w:val="1"/>
      <w:marLeft w:val="0"/>
      <w:marRight w:val="0"/>
      <w:marTop w:val="0"/>
      <w:marBottom w:val="0"/>
      <w:divBdr>
        <w:top w:val="none" w:sz="0" w:space="0" w:color="auto"/>
        <w:left w:val="none" w:sz="0" w:space="0" w:color="auto"/>
        <w:bottom w:val="none" w:sz="0" w:space="0" w:color="auto"/>
        <w:right w:val="none" w:sz="0" w:space="0" w:color="auto"/>
      </w:divBdr>
    </w:div>
    <w:div w:id="294988040">
      <w:bodyDiv w:val="1"/>
      <w:marLeft w:val="0"/>
      <w:marRight w:val="0"/>
      <w:marTop w:val="0"/>
      <w:marBottom w:val="0"/>
      <w:divBdr>
        <w:top w:val="none" w:sz="0" w:space="0" w:color="auto"/>
        <w:left w:val="none" w:sz="0" w:space="0" w:color="auto"/>
        <w:bottom w:val="none" w:sz="0" w:space="0" w:color="auto"/>
        <w:right w:val="none" w:sz="0" w:space="0" w:color="auto"/>
      </w:divBdr>
    </w:div>
    <w:div w:id="314770438">
      <w:bodyDiv w:val="1"/>
      <w:marLeft w:val="0"/>
      <w:marRight w:val="0"/>
      <w:marTop w:val="0"/>
      <w:marBottom w:val="0"/>
      <w:divBdr>
        <w:top w:val="none" w:sz="0" w:space="0" w:color="auto"/>
        <w:left w:val="none" w:sz="0" w:space="0" w:color="auto"/>
        <w:bottom w:val="none" w:sz="0" w:space="0" w:color="auto"/>
        <w:right w:val="none" w:sz="0" w:space="0" w:color="auto"/>
      </w:divBdr>
    </w:div>
    <w:div w:id="334848156">
      <w:bodyDiv w:val="1"/>
      <w:marLeft w:val="0"/>
      <w:marRight w:val="0"/>
      <w:marTop w:val="0"/>
      <w:marBottom w:val="0"/>
      <w:divBdr>
        <w:top w:val="none" w:sz="0" w:space="0" w:color="auto"/>
        <w:left w:val="none" w:sz="0" w:space="0" w:color="auto"/>
        <w:bottom w:val="none" w:sz="0" w:space="0" w:color="auto"/>
        <w:right w:val="none" w:sz="0" w:space="0" w:color="auto"/>
      </w:divBdr>
    </w:div>
    <w:div w:id="387343039">
      <w:bodyDiv w:val="1"/>
      <w:marLeft w:val="0"/>
      <w:marRight w:val="0"/>
      <w:marTop w:val="0"/>
      <w:marBottom w:val="0"/>
      <w:divBdr>
        <w:top w:val="none" w:sz="0" w:space="0" w:color="auto"/>
        <w:left w:val="none" w:sz="0" w:space="0" w:color="auto"/>
        <w:bottom w:val="none" w:sz="0" w:space="0" w:color="auto"/>
        <w:right w:val="none" w:sz="0" w:space="0" w:color="auto"/>
      </w:divBdr>
    </w:div>
    <w:div w:id="413817714">
      <w:bodyDiv w:val="1"/>
      <w:marLeft w:val="0"/>
      <w:marRight w:val="0"/>
      <w:marTop w:val="0"/>
      <w:marBottom w:val="0"/>
      <w:divBdr>
        <w:top w:val="none" w:sz="0" w:space="0" w:color="auto"/>
        <w:left w:val="none" w:sz="0" w:space="0" w:color="auto"/>
        <w:bottom w:val="none" w:sz="0" w:space="0" w:color="auto"/>
        <w:right w:val="none" w:sz="0" w:space="0" w:color="auto"/>
      </w:divBdr>
    </w:div>
    <w:div w:id="419067174">
      <w:bodyDiv w:val="1"/>
      <w:marLeft w:val="0"/>
      <w:marRight w:val="0"/>
      <w:marTop w:val="0"/>
      <w:marBottom w:val="0"/>
      <w:divBdr>
        <w:top w:val="none" w:sz="0" w:space="0" w:color="auto"/>
        <w:left w:val="none" w:sz="0" w:space="0" w:color="auto"/>
        <w:bottom w:val="none" w:sz="0" w:space="0" w:color="auto"/>
        <w:right w:val="none" w:sz="0" w:space="0" w:color="auto"/>
      </w:divBdr>
    </w:div>
    <w:div w:id="420218470">
      <w:bodyDiv w:val="1"/>
      <w:marLeft w:val="0"/>
      <w:marRight w:val="0"/>
      <w:marTop w:val="0"/>
      <w:marBottom w:val="0"/>
      <w:divBdr>
        <w:top w:val="none" w:sz="0" w:space="0" w:color="auto"/>
        <w:left w:val="none" w:sz="0" w:space="0" w:color="auto"/>
        <w:bottom w:val="none" w:sz="0" w:space="0" w:color="auto"/>
        <w:right w:val="none" w:sz="0" w:space="0" w:color="auto"/>
      </w:divBdr>
    </w:div>
    <w:div w:id="424882256">
      <w:bodyDiv w:val="1"/>
      <w:marLeft w:val="0"/>
      <w:marRight w:val="0"/>
      <w:marTop w:val="0"/>
      <w:marBottom w:val="0"/>
      <w:divBdr>
        <w:top w:val="none" w:sz="0" w:space="0" w:color="auto"/>
        <w:left w:val="none" w:sz="0" w:space="0" w:color="auto"/>
        <w:bottom w:val="none" w:sz="0" w:space="0" w:color="auto"/>
        <w:right w:val="none" w:sz="0" w:space="0" w:color="auto"/>
      </w:divBdr>
    </w:div>
    <w:div w:id="460004690">
      <w:bodyDiv w:val="1"/>
      <w:marLeft w:val="0"/>
      <w:marRight w:val="0"/>
      <w:marTop w:val="0"/>
      <w:marBottom w:val="0"/>
      <w:divBdr>
        <w:top w:val="none" w:sz="0" w:space="0" w:color="auto"/>
        <w:left w:val="none" w:sz="0" w:space="0" w:color="auto"/>
        <w:bottom w:val="none" w:sz="0" w:space="0" w:color="auto"/>
        <w:right w:val="none" w:sz="0" w:space="0" w:color="auto"/>
      </w:divBdr>
    </w:div>
    <w:div w:id="485784742">
      <w:bodyDiv w:val="1"/>
      <w:marLeft w:val="0"/>
      <w:marRight w:val="0"/>
      <w:marTop w:val="0"/>
      <w:marBottom w:val="0"/>
      <w:divBdr>
        <w:top w:val="none" w:sz="0" w:space="0" w:color="auto"/>
        <w:left w:val="none" w:sz="0" w:space="0" w:color="auto"/>
        <w:bottom w:val="none" w:sz="0" w:space="0" w:color="auto"/>
        <w:right w:val="none" w:sz="0" w:space="0" w:color="auto"/>
      </w:divBdr>
    </w:div>
    <w:div w:id="545725442">
      <w:bodyDiv w:val="1"/>
      <w:marLeft w:val="0"/>
      <w:marRight w:val="0"/>
      <w:marTop w:val="0"/>
      <w:marBottom w:val="0"/>
      <w:divBdr>
        <w:top w:val="none" w:sz="0" w:space="0" w:color="auto"/>
        <w:left w:val="none" w:sz="0" w:space="0" w:color="auto"/>
        <w:bottom w:val="none" w:sz="0" w:space="0" w:color="auto"/>
        <w:right w:val="none" w:sz="0" w:space="0" w:color="auto"/>
      </w:divBdr>
    </w:div>
    <w:div w:id="563830763">
      <w:bodyDiv w:val="1"/>
      <w:marLeft w:val="0"/>
      <w:marRight w:val="0"/>
      <w:marTop w:val="0"/>
      <w:marBottom w:val="0"/>
      <w:divBdr>
        <w:top w:val="none" w:sz="0" w:space="0" w:color="auto"/>
        <w:left w:val="none" w:sz="0" w:space="0" w:color="auto"/>
        <w:bottom w:val="none" w:sz="0" w:space="0" w:color="auto"/>
        <w:right w:val="none" w:sz="0" w:space="0" w:color="auto"/>
      </w:divBdr>
    </w:div>
    <w:div w:id="650326571">
      <w:bodyDiv w:val="1"/>
      <w:marLeft w:val="0"/>
      <w:marRight w:val="0"/>
      <w:marTop w:val="0"/>
      <w:marBottom w:val="0"/>
      <w:divBdr>
        <w:top w:val="none" w:sz="0" w:space="0" w:color="auto"/>
        <w:left w:val="none" w:sz="0" w:space="0" w:color="auto"/>
        <w:bottom w:val="none" w:sz="0" w:space="0" w:color="auto"/>
        <w:right w:val="none" w:sz="0" w:space="0" w:color="auto"/>
      </w:divBdr>
    </w:div>
    <w:div w:id="655449632">
      <w:bodyDiv w:val="1"/>
      <w:marLeft w:val="0"/>
      <w:marRight w:val="0"/>
      <w:marTop w:val="0"/>
      <w:marBottom w:val="0"/>
      <w:divBdr>
        <w:top w:val="none" w:sz="0" w:space="0" w:color="auto"/>
        <w:left w:val="none" w:sz="0" w:space="0" w:color="auto"/>
        <w:bottom w:val="none" w:sz="0" w:space="0" w:color="auto"/>
        <w:right w:val="none" w:sz="0" w:space="0" w:color="auto"/>
      </w:divBdr>
    </w:div>
    <w:div w:id="677736707">
      <w:bodyDiv w:val="1"/>
      <w:marLeft w:val="0"/>
      <w:marRight w:val="0"/>
      <w:marTop w:val="0"/>
      <w:marBottom w:val="0"/>
      <w:divBdr>
        <w:top w:val="none" w:sz="0" w:space="0" w:color="auto"/>
        <w:left w:val="none" w:sz="0" w:space="0" w:color="auto"/>
        <w:bottom w:val="none" w:sz="0" w:space="0" w:color="auto"/>
        <w:right w:val="none" w:sz="0" w:space="0" w:color="auto"/>
      </w:divBdr>
    </w:div>
    <w:div w:id="682315698">
      <w:bodyDiv w:val="1"/>
      <w:marLeft w:val="0"/>
      <w:marRight w:val="0"/>
      <w:marTop w:val="0"/>
      <w:marBottom w:val="0"/>
      <w:divBdr>
        <w:top w:val="none" w:sz="0" w:space="0" w:color="auto"/>
        <w:left w:val="none" w:sz="0" w:space="0" w:color="auto"/>
        <w:bottom w:val="none" w:sz="0" w:space="0" w:color="auto"/>
        <w:right w:val="none" w:sz="0" w:space="0" w:color="auto"/>
      </w:divBdr>
    </w:div>
    <w:div w:id="682324455">
      <w:bodyDiv w:val="1"/>
      <w:marLeft w:val="0"/>
      <w:marRight w:val="0"/>
      <w:marTop w:val="0"/>
      <w:marBottom w:val="0"/>
      <w:divBdr>
        <w:top w:val="none" w:sz="0" w:space="0" w:color="auto"/>
        <w:left w:val="none" w:sz="0" w:space="0" w:color="auto"/>
        <w:bottom w:val="none" w:sz="0" w:space="0" w:color="auto"/>
        <w:right w:val="none" w:sz="0" w:space="0" w:color="auto"/>
      </w:divBdr>
    </w:div>
    <w:div w:id="685135901">
      <w:bodyDiv w:val="1"/>
      <w:marLeft w:val="0"/>
      <w:marRight w:val="0"/>
      <w:marTop w:val="0"/>
      <w:marBottom w:val="0"/>
      <w:divBdr>
        <w:top w:val="none" w:sz="0" w:space="0" w:color="auto"/>
        <w:left w:val="none" w:sz="0" w:space="0" w:color="auto"/>
        <w:bottom w:val="none" w:sz="0" w:space="0" w:color="auto"/>
        <w:right w:val="none" w:sz="0" w:space="0" w:color="auto"/>
      </w:divBdr>
    </w:div>
    <w:div w:id="723215367">
      <w:bodyDiv w:val="1"/>
      <w:marLeft w:val="0"/>
      <w:marRight w:val="0"/>
      <w:marTop w:val="0"/>
      <w:marBottom w:val="0"/>
      <w:divBdr>
        <w:top w:val="none" w:sz="0" w:space="0" w:color="auto"/>
        <w:left w:val="none" w:sz="0" w:space="0" w:color="auto"/>
        <w:bottom w:val="none" w:sz="0" w:space="0" w:color="auto"/>
        <w:right w:val="none" w:sz="0" w:space="0" w:color="auto"/>
      </w:divBdr>
    </w:div>
    <w:div w:id="753360200">
      <w:bodyDiv w:val="1"/>
      <w:marLeft w:val="0"/>
      <w:marRight w:val="0"/>
      <w:marTop w:val="0"/>
      <w:marBottom w:val="0"/>
      <w:divBdr>
        <w:top w:val="none" w:sz="0" w:space="0" w:color="auto"/>
        <w:left w:val="none" w:sz="0" w:space="0" w:color="auto"/>
        <w:bottom w:val="none" w:sz="0" w:space="0" w:color="auto"/>
        <w:right w:val="none" w:sz="0" w:space="0" w:color="auto"/>
      </w:divBdr>
    </w:div>
    <w:div w:id="762649974">
      <w:bodyDiv w:val="1"/>
      <w:marLeft w:val="0"/>
      <w:marRight w:val="0"/>
      <w:marTop w:val="0"/>
      <w:marBottom w:val="0"/>
      <w:divBdr>
        <w:top w:val="none" w:sz="0" w:space="0" w:color="auto"/>
        <w:left w:val="none" w:sz="0" w:space="0" w:color="auto"/>
        <w:bottom w:val="none" w:sz="0" w:space="0" w:color="auto"/>
        <w:right w:val="none" w:sz="0" w:space="0" w:color="auto"/>
      </w:divBdr>
    </w:div>
    <w:div w:id="787089329">
      <w:bodyDiv w:val="1"/>
      <w:marLeft w:val="0"/>
      <w:marRight w:val="0"/>
      <w:marTop w:val="0"/>
      <w:marBottom w:val="0"/>
      <w:divBdr>
        <w:top w:val="none" w:sz="0" w:space="0" w:color="auto"/>
        <w:left w:val="none" w:sz="0" w:space="0" w:color="auto"/>
        <w:bottom w:val="none" w:sz="0" w:space="0" w:color="auto"/>
        <w:right w:val="none" w:sz="0" w:space="0" w:color="auto"/>
      </w:divBdr>
    </w:div>
    <w:div w:id="794056388">
      <w:bodyDiv w:val="1"/>
      <w:marLeft w:val="0"/>
      <w:marRight w:val="0"/>
      <w:marTop w:val="0"/>
      <w:marBottom w:val="0"/>
      <w:divBdr>
        <w:top w:val="none" w:sz="0" w:space="0" w:color="auto"/>
        <w:left w:val="none" w:sz="0" w:space="0" w:color="auto"/>
        <w:bottom w:val="none" w:sz="0" w:space="0" w:color="auto"/>
        <w:right w:val="none" w:sz="0" w:space="0" w:color="auto"/>
      </w:divBdr>
    </w:div>
    <w:div w:id="827400218">
      <w:bodyDiv w:val="1"/>
      <w:marLeft w:val="0"/>
      <w:marRight w:val="0"/>
      <w:marTop w:val="0"/>
      <w:marBottom w:val="0"/>
      <w:divBdr>
        <w:top w:val="none" w:sz="0" w:space="0" w:color="auto"/>
        <w:left w:val="none" w:sz="0" w:space="0" w:color="auto"/>
        <w:bottom w:val="none" w:sz="0" w:space="0" w:color="auto"/>
        <w:right w:val="none" w:sz="0" w:space="0" w:color="auto"/>
      </w:divBdr>
    </w:div>
    <w:div w:id="834223094">
      <w:bodyDiv w:val="1"/>
      <w:marLeft w:val="0"/>
      <w:marRight w:val="0"/>
      <w:marTop w:val="0"/>
      <w:marBottom w:val="0"/>
      <w:divBdr>
        <w:top w:val="none" w:sz="0" w:space="0" w:color="auto"/>
        <w:left w:val="none" w:sz="0" w:space="0" w:color="auto"/>
        <w:bottom w:val="none" w:sz="0" w:space="0" w:color="auto"/>
        <w:right w:val="none" w:sz="0" w:space="0" w:color="auto"/>
      </w:divBdr>
    </w:div>
    <w:div w:id="850144970">
      <w:bodyDiv w:val="1"/>
      <w:marLeft w:val="0"/>
      <w:marRight w:val="0"/>
      <w:marTop w:val="0"/>
      <w:marBottom w:val="0"/>
      <w:divBdr>
        <w:top w:val="none" w:sz="0" w:space="0" w:color="auto"/>
        <w:left w:val="none" w:sz="0" w:space="0" w:color="auto"/>
        <w:bottom w:val="none" w:sz="0" w:space="0" w:color="auto"/>
        <w:right w:val="none" w:sz="0" w:space="0" w:color="auto"/>
      </w:divBdr>
    </w:div>
    <w:div w:id="865411348">
      <w:bodyDiv w:val="1"/>
      <w:marLeft w:val="0"/>
      <w:marRight w:val="0"/>
      <w:marTop w:val="0"/>
      <w:marBottom w:val="0"/>
      <w:divBdr>
        <w:top w:val="none" w:sz="0" w:space="0" w:color="auto"/>
        <w:left w:val="none" w:sz="0" w:space="0" w:color="auto"/>
        <w:bottom w:val="none" w:sz="0" w:space="0" w:color="auto"/>
        <w:right w:val="none" w:sz="0" w:space="0" w:color="auto"/>
      </w:divBdr>
    </w:div>
    <w:div w:id="883561337">
      <w:bodyDiv w:val="1"/>
      <w:marLeft w:val="0"/>
      <w:marRight w:val="0"/>
      <w:marTop w:val="0"/>
      <w:marBottom w:val="0"/>
      <w:divBdr>
        <w:top w:val="none" w:sz="0" w:space="0" w:color="auto"/>
        <w:left w:val="none" w:sz="0" w:space="0" w:color="auto"/>
        <w:bottom w:val="none" w:sz="0" w:space="0" w:color="auto"/>
        <w:right w:val="none" w:sz="0" w:space="0" w:color="auto"/>
      </w:divBdr>
    </w:div>
    <w:div w:id="902638815">
      <w:bodyDiv w:val="1"/>
      <w:marLeft w:val="0"/>
      <w:marRight w:val="0"/>
      <w:marTop w:val="0"/>
      <w:marBottom w:val="0"/>
      <w:divBdr>
        <w:top w:val="none" w:sz="0" w:space="0" w:color="auto"/>
        <w:left w:val="none" w:sz="0" w:space="0" w:color="auto"/>
        <w:bottom w:val="none" w:sz="0" w:space="0" w:color="auto"/>
        <w:right w:val="none" w:sz="0" w:space="0" w:color="auto"/>
      </w:divBdr>
    </w:div>
    <w:div w:id="966006467">
      <w:bodyDiv w:val="1"/>
      <w:marLeft w:val="0"/>
      <w:marRight w:val="0"/>
      <w:marTop w:val="0"/>
      <w:marBottom w:val="0"/>
      <w:divBdr>
        <w:top w:val="none" w:sz="0" w:space="0" w:color="auto"/>
        <w:left w:val="none" w:sz="0" w:space="0" w:color="auto"/>
        <w:bottom w:val="none" w:sz="0" w:space="0" w:color="auto"/>
        <w:right w:val="none" w:sz="0" w:space="0" w:color="auto"/>
      </w:divBdr>
    </w:div>
    <w:div w:id="1001933566">
      <w:bodyDiv w:val="1"/>
      <w:marLeft w:val="0"/>
      <w:marRight w:val="0"/>
      <w:marTop w:val="0"/>
      <w:marBottom w:val="0"/>
      <w:divBdr>
        <w:top w:val="none" w:sz="0" w:space="0" w:color="auto"/>
        <w:left w:val="none" w:sz="0" w:space="0" w:color="auto"/>
        <w:bottom w:val="none" w:sz="0" w:space="0" w:color="auto"/>
        <w:right w:val="none" w:sz="0" w:space="0" w:color="auto"/>
      </w:divBdr>
    </w:div>
    <w:div w:id="1020010297">
      <w:bodyDiv w:val="1"/>
      <w:marLeft w:val="0"/>
      <w:marRight w:val="0"/>
      <w:marTop w:val="0"/>
      <w:marBottom w:val="0"/>
      <w:divBdr>
        <w:top w:val="none" w:sz="0" w:space="0" w:color="auto"/>
        <w:left w:val="none" w:sz="0" w:space="0" w:color="auto"/>
        <w:bottom w:val="none" w:sz="0" w:space="0" w:color="auto"/>
        <w:right w:val="none" w:sz="0" w:space="0" w:color="auto"/>
      </w:divBdr>
    </w:div>
    <w:div w:id="1071120663">
      <w:bodyDiv w:val="1"/>
      <w:marLeft w:val="0"/>
      <w:marRight w:val="0"/>
      <w:marTop w:val="0"/>
      <w:marBottom w:val="0"/>
      <w:divBdr>
        <w:top w:val="none" w:sz="0" w:space="0" w:color="auto"/>
        <w:left w:val="none" w:sz="0" w:space="0" w:color="auto"/>
        <w:bottom w:val="none" w:sz="0" w:space="0" w:color="auto"/>
        <w:right w:val="none" w:sz="0" w:space="0" w:color="auto"/>
      </w:divBdr>
    </w:div>
    <w:div w:id="1113015904">
      <w:bodyDiv w:val="1"/>
      <w:marLeft w:val="0"/>
      <w:marRight w:val="0"/>
      <w:marTop w:val="0"/>
      <w:marBottom w:val="0"/>
      <w:divBdr>
        <w:top w:val="none" w:sz="0" w:space="0" w:color="auto"/>
        <w:left w:val="none" w:sz="0" w:space="0" w:color="auto"/>
        <w:bottom w:val="none" w:sz="0" w:space="0" w:color="auto"/>
        <w:right w:val="none" w:sz="0" w:space="0" w:color="auto"/>
      </w:divBdr>
    </w:div>
    <w:div w:id="1114247527">
      <w:bodyDiv w:val="1"/>
      <w:marLeft w:val="0"/>
      <w:marRight w:val="0"/>
      <w:marTop w:val="0"/>
      <w:marBottom w:val="0"/>
      <w:divBdr>
        <w:top w:val="none" w:sz="0" w:space="0" w:color="auto"/>
        <w:left w:val="none" w:sz="0" w:space="0" w:color="auto"/>
        <w:bottom w:val="none" w:sz="0" w:space="0" w:color="auto"/>
        <w:right w:val="none" w:sz="0" w:space="0" w:color="auto"/>
      </w:divBdr>
    </w:div>
    <w:div w:id="1135679733">
      <w:bodyDiv w:val="1"/>
      <w:marLeft w:val="0"/>
      <w:marRight w:val="0"/>
      <w:marTop w:val="0"/>
      <w:marBottom w:val="0"/>
      <w:divBdr>
        <w:top w:val="none" w:sz="0" w:space="0" w:color="auto"/>
        <w:left w:val="none" w:sz="0" w:space="0" w:color="auto"/>
        <w:bottom w:val="none" w:sz="0" w:space="0" w:color="auto"/>
        <w:right w:val="none" w:sz="0" w:space="0" w:color="auto"/>
      </w:divBdr>
    </w:div>
    <w:div w:id="1165781904">
      <w:bodyDiv w:val="1"/>
      <w:marLeft w:val="0"/>
      <w:marRight w:val="0"/>
      <w:marTop w:val="0"/>
      <w:marBottom w:val="0"/>
      <w:divBdr>
        <w:top w:val="none" w:sz="0" w:space="0" w:color="auto"/>
        <w:left w:val="none" w:sz="0" w:space="0" w:color="auto"/>
        <w:bottom w:val="none" w:sz="0" w:space="0" w:color="auto"/>
        <w:right w:val="none" w:sz="0" w:space="0" w:color="auto"/>
      </w:divBdr>
    </w:div>
    <w:div w:id="1212229285">
      <w:bodyDiv w:val="1"/>
      <w:marLeft w:val="0"/>
      <w:marRight w:val="0"/>
      <w:marTop w:val="0"/>
      <w:marBottom w:val="0"/>
      <w:divBdr>
        <w:top w:val="none" w:sz="0" w:space="0" w:color="auto"/>
        <w:left w:val="none" w:sz="0" w:space="0" w:color="auto"/>
        <w:bottom w:val="none" w:sz="0" w:space="0" w:color="auto"/>
        <w:right w:val="none" w:sz="0" w:space="0" w:color="auto"/>
      </w:divBdr>
    </w:div>
    <w:div w:id="1236359095">
      <w:bodyDiv w:val="1"/>
      <w:marLeft w:val="0"/>
      <w:marRight w:val="0"/>
      <w:marTop w:val="0"/>
      <w:marBottom w:val="0"/>
      <w:divBdr>
        <w:top w:val="none" w:sz="0" w:space="0" w:color="auto"/>
        <w:left w:val="none" w:sz="0" w:space="0" w:color="auto"/>
        <w:bottom w:val="none" w:sz="0" w:space="0" w:color="auto"/>
        <w:right w:val="none" w:sz="0" w:space="0" w:color="auto"/>
      </w:divBdr>
    </w:div>
    <w:div w:id="1262690415">
      <w:bodyDiv w:val="1"/>
      <w:marLeft w:val="0"/>
      <w:marRight w:val="0"/>
      <w:marTop w:val="0"/>
      <w:marBottom w:val="0"/>
      <w:divBdr>
        <w:top w:val="none" w:sz="0" w:space="0" w:color="auto"/>
        <w:left w:val="none" w:sz="0" w:space="0" w:color="auto"/>
        <w:bottom w:val="none" w:sz="0" w:space="0" w:color="auto"/>
        <w:right w:val="none" w:sz="0" w:space="0" w:color="auto"/>
      </w:divBdr>
    </w:div>
    <w:div w:id="1265184671">
      <w:bodyDiv w:val="1"/>
      <w:marLeft w:val="0"/>
      <w:marRight w:val="0"/>
      <w:marTop w:val="0"/>
      <w:marBottom w:val="0"/>
      <w:divBdr>
        <w:top w:val="none" w:sz="0" w:space="0" w:color="auto"/>
        <w:left w:val="none" w:sz="0" w:space="0" w:color="auto"/>
        <w:bottom w:val="none" w:sz="0" w:space="0" w:color="auto"/>
        <w:right w:val="none" w:sz="0" w:space="0" w:color="auto"/>
      </w:divBdr>
    </w:div>
    <w:div w:id="1304234925">
      <w:bodyDiv w:val="1"/>
      <w:marLeft w:val="0"/>
      <w:marRight w:val="0"/>
      <w:marTop w:val="0"/>
      <w:marBottom w:val="0"/>
      <w:divBdr>
        <w:top w:val="none" w:sz="0" w:space="0" w:color="auto"/>
        <w:left w:val="none" w:sz="0" w:space="0" w:color="auto"/>
        <w:bottom w:val="none" w:sz="0" w:space="0" w:color="auto"/>
        <w:right w:val="none" w:sz="0" w:space="0" w:color="auto"/>
      </w:divBdr>
    </w:div>
    <w:div w:id="1336834935">
      <w:bodyDiv w:val="1"/>
      <w:marLeft w:val="0"/>
      <w:marRight w:val="0"/>
      <w:marTop w:val="0"/>
      <w:marBottom w:val="0"/>
      <w:divBdr>
        <w:top w:val="none" w:sz="0" w:space="0" w:color="auto"/>
        <w:left w:val="none" w:sz="0" w:space="0" w:color="auto"/>
        <w:bottom w:val="none" w:sz="0" w:space="0" w:color="auto"/>
        <w:right w:val="none" w:sz="0" w:space="0" w:color="auto"/>
      </w:divBdr>
    </w:div>
    <w:div w:id="1412582628">
      <w:bodyDiv w:val="1"/>
      <w:marLeft w:val="0"/>
      <w:marRight w:val="0"/>
      <w:marTop w:val="0"/>
      <w:marBottom w:val="0"/>
      <w:divBdr>
        <w:top w:val="none" w:sz="0" w:space="0" w:color="auto"/>
        <w:left w:val="none" w:sz="0" w:space="0" w:color="auto"/>
        <w:bottom w:val="none" w:sz="0" w:space="0" w:color="auto"/>
        <w:right w:val="none" w:sz="0" w:space="0" w:color="auto"/>
      </w:divBdr>
    </w:div>
    <w:div w:id="1417702954">
      <w:bodyDiv w:val="1"/>
      <w:marLeft w:val="0"/>
      <w:marRight w:val="0"/>
      <w:marTop w:val="0"/>
      <w:marBottom w:val="0"/>
      <w:divBdr>
        <w:top w:val="none" w:sz="0" w:space="0" w:color="auto"/>
        <w:left w:val="none" w:sz="0" w:space="0" w:color="auto"/>
        <w:bottom w:val="none" w:sz="0" w:space="0" w:color="auto"/>
        <w:right w:val="none" w:sz="0" w:space="0" w:color="auto"/>
      </w:divBdr>
    </w:div>
    <w:div w:id="1449003772">
      <w:bodyDiv w:val="1"/>
      <w:marLeft w:val="0"/>
      <w:marRight w:val="0"/>
      <w:marTop w:val="0"/>
      <w:marBottom w:val="0"/>
      <w:divBdr>
        <w:top w:val="none" w:sz="0" w:space="0" w:color="auto"/>
        <w:left w:val="none" w:sz="0" w:space="0" w:color="auto"/>
        <w:bottom w:val="none" w:sz="0" w:space="0" w:color="auto"/>
        <w:right w:val="none" w:sz="0" w:space="0" w:color="auto"/>
      </w:divBdr>
    </w:div>
    <w:div w:id="1476416138">
      <w:bodyDiv w:val="1"/>
      <w:marLeft w:val="0"/>
      <w:marRight w:val="0"/>
      <w:marTop w:val="0"/>
      <w:marBottom w:val="0"/>
      <w:divBdr>
        <w:top w:val="none" w:sz="0" w:space="0" w:color="auto"/>
        <w:left w:val="none" w:sz="0" w:space="0" w:color="auto"/>
        <w:bottom w:val="none" w:sz="0" w:space="0" w:color="auto"/>
        <w:right w:val="none" w:sz="0" w:space="0" w:color="auto"/>
      </w:divBdr>
    </w:div>
    <w:div w:id="1582984058">
      <w:bodyDiv w:val="1"/>
      <w:marLeft w:val="0"/>
      <w:marRight w:val="0"/>
      <w:marTop w:val="0"/>
      <w:marBottom w:val="0"/>
      <w:divBdr>
        <w:top w:val="none" w:sz="0" w:space="0" w:color="auto"/>
        <w:left w:val="none" w:sz="0" w:space="0" w:color="auto"/>
        <w:bottom w:val="none" w:sz="0" w:space="0" w:color="auto"/>
        <w:right w:val="none" w:sz="0" w:space="0" w:color="auto"/>
      </w:divBdr>
    </w:div>
    <w:div w:id="1684236882">
      <w:bodyDiv w:val="1"/>
      <w:marLeft w:val="0"/>
      <w:marRight w:val="0"/>
      <w:marTop w:val="0"/>
      <w:marBottom w:val="0"/>
      <w:divBdr>
        <w:top w:val="none" w:sz="0" w:space="0" w:color="auto"/>
        <w:left w:val="none" w:sz="0" w:space="0" w:color="auto"/>
        <w:bottom w:val="none" w:sz="0" w:space="0" w:color="auto"/>
        <w:right w:val="none" w:sz="0" w:space="0" w:color="auto"/>
      </w:divBdr>
    </w:div>
    <w:div w:id="1689327183">
      <w:bodyDiv w:val="1"/>
      <w:marLeft w:val="0"/>
      <w:marRight w:val="0"/>
      <w:marTop w:val="0"/>
      <w:marBottom w:val="0"/>
      <w:divBdr>
        <w:top w:val="none" w:sz="0" w:space="0" w:color="auto"/>
        <w:left w:val="none" w:sz="0" w:space="0" w:color="auto"/>
        <w:bottom w:val="none" w:sz="0" w:space="0" w:color="auto"/>
        <w:right w:val="none" w:sz="0" w:space="0" w:color="auto"/>
      </w:divBdr>
    </w:div>
    <w:div w:id="1692804277">
      <w:bodyDiv w:val="1"/>
      <w:marLeft w:val="0"/>
      <w:marRight w:val="0"/>
      <w:marTop w:val="0"/>
      <w:marBottom w:val="0"/>
      <w:divBdr>
        <w:top w:val="none" w:sz="0" w:space="0" w:color="auto"/>
        <w:left w:val="none" w:sz="0" w:space="0" w:color="auto"/>
        <w:bottom w:val="none" w:sz="0" w:space="0" w:color="auto"/>
        <w:right w:val="none" w:sz="0" w:space="0" w:color="auto"/>
      </w:divBdr>
    </w:div>
    <w:div w:id="1709379618">
      <w:bodyDiv w:val="1"/>
      <w:marLeft w:val="0"/>
      <w:marRight w:val="0"/>
      <w:marTop w:val="0"/>
      <w:marBottom w:val="0"/>
      <w:divBdr>
        <w:top w:val="none" w:sz="0" w:space="0" w:color="auto"/>
        <w:left w:val="none" w:sz="0" w:space="0" w:color="auto"/>
        <w:bottom w:val="none" w:sz="0" w:space="0" w:color="auto"/>
        <w:right w:val="none" w:sz="0" w:space="0" w:color="auto"/>
      </w:divBdr>
    </w:div>
    <w:div w:id="1788160308">
      <w:bodyDiv w:val="1"/>
      <w:marLeft w:val="0"/>
      <w:marRight w:val="0"/>
      <w:marTop w:val="0"/>
      <w:marBottom w:val="0"/>
      <w:divBdr>
        <w:top w:val="none" w:sz="0" w:space="0" w:color="auto"/>
        <w:left w:val="none" w:sz="0" w:space="0" w:color="auto"/>
        <w:bottom w:val="none" w:sz="0" w:space="0" w:color="auto"/>
        <w:right w:val="none" w:sz="0" w:space="0" w:color="auto"/>
      </w:divBdr>
    </w:div>
    <w:div w:id="1791321367">
      <w:bodyDiv w:val="1"/>
      <w:marLeft w:val="0"/>
      <w:marRight w:val="0"/>
      <w:marTop w:val="0"/>
      <w:marBottom w:val="0"/>
      <w:divBdr>
        <w:top w:val="none" w:sz="0" w:space="0" w:color="auto"/>
        <w:left w:val="none" w:sz="0" w:space="0" w:color="auto"/>
        <w:bottom w:val="none" w:sz="0" w:space="0" w:color="auto"/>
        <w:right w:val="none" w:sz="0" w:space="0" w:color="auto"/>
      </w:divBdr>
    </w:div>
    <w:div w:id="1817599322">
      <w:bodyDiv w:val="1"/>
      <w:marLeft w:val="0"/>
      <w:marRight w:val="0"/>
      <w:marTop w:val="0"/>
      <w:marBottom w:val="0"/>
      <w:divBdr>
        <w:top w:val="none" w:sz="0" w:space="0" w:color="auto"/>
        <w:left w:val="none" w:sz="0" w:space="0" w:color="auto"/>
        <w:bottom w:val="none" w:sz="0" w:space="0" w:color="auto"/>
        <w:right w:val="none" w:sz="0" w:space="0" w:color="auto"/>
      </w:divBdr>
    </w:div>
    <w:div w:id="1840196291">
      <w:bodyDiv w:val="1"/>
      <w:marLeft w:val="0"/>
      <w:marRight w:val="0"/>
      <w:marTop w:val="0"/>
      <w:marBottom w:val="0"/>
      <w:divBdr>
        <w:top w:val="none" w:sz="0" w:space="0" w:color="auto"/>
        <w:left w:val="none" w:sz="0" w:space="0" w:color="auto"/>
        <w:bottom w:val="none" w:sz="0" w:space="0" w:color="auto"/>
        <w:right w:val="none" w:sz="0" w:space="0" w:color="auto"/>
      </w:divBdr>
    </w:div>
    <w:div w:id="1841659034">
      <w:bodyDiv w:val="1"/>
      <w:marLeft w:val="0"/>
      <w:marRight w:val="0"/>
      <w:marTop w:val="0"/>
      <w:marBottom w:val="0"/>
      <w:divBdr>
        <w:top w:val="none" w:sz="0" w:space="0" w:color="auto"/>
        <w:left w:val="none" w:sz="0" w:space="0" w:color="auto"/>
        <w:bottom w:val="none" w:sz="0" w:space="0" w:color="auto"/>
        <w:right w:val="none" w:sz="0" w:space="0" w:color="auto"/>
      </w:divBdr>
    </w:div>
    <w:div w:id="1854492057">
      <w:bodyDiv w:val="1"/>
      <w:marLeft w:val="0"/>
      <w:marRight w:val="0"/>
      <w:marTop w:val="0"/>
      <w:marBottom w:val="0"/>
      <w:divBdr>
        <w:top w:val="none" w:sz="0" w:space="0" w:color="auto"/>
        <w:left w:val="none" w:sz="0" w:space="0" w:color="auto"/>
        <w:bottom w:val="none" w:sz="0" w:space="0" w:color="auto"/>
        <w:right w:val="none" w:sz="0" w:space="0" w:color="auto"/>
      </w:divBdr>
    </w:div>
    <w:div w:id="1878001499">
      <w:bodyDiv w:val="1"/>
      <w:marLeft w:val="0"/>
      <w:marRight w:val="0"/>
      <w:marTop w:val="0"/>
      <w:marBottom w:val="0"/>
      <w:divBdr>
        <w:top w:val="none" w:sz="0" w:space="0" w:color="auto"/>
        <w:left w:val="none" w:sz="0" w:space="0" w:color="auto"/>
        <w:bottom w:val="none" w:sz="0" w:space="0" w:color="auto"/>
        <w:right w:val="none" w:sz="0" w:space="0" w:color="auto"/>
      </w:divBdr>
    </w:div>
    <w:div w:id="1906867356">
      <w:bodyDiv w:val="1"/>
      <w:marLeft w:val="0"/>
      <w:marRight w:val="0"/>
      <w:marTop w:val="0"/>
      <w:marBottom w:val="0"/>
      <w:divBdr>
        <w:top w:val="none" w:sz="0" w:space="0" w:color="auto"/>
        <w:left w:val="none" w:sz="0" w:space="0" w:color="auto"/>
        <w:bottom w:val="none" w:sz="0" w:space="0" w:color="auto"/>
        <w:right w:val="none" w:sz="0" w:space="0" w:color="auto"/>
      </w:divBdr>
    </w:div>
    <w:div w:id="1906992748">
      <w:bodyDiv w:val="1"/>
      <w:marLeft w:val="0"/>
      <w:marRight w:val="0"/>
      <w:marTop w:val="0"/>
      <w:marBottom w:val="0"/>
      <w:divBdr>
        <w:top w:val="none" w:sz="0" w:space="0" w:color="auto"/>
        <w:left w:val="none" w:sz="0" w:space="0" w:color="auto"/>
        <w:bottom w:val="none" w:sz="0" w:space="0" w:color="auto"/>
        <w:right w:val="none" w:sz="0" w:space="0" w:color="auto"/>
      </w:divBdr>
    </w:div>
    <w:div w:id="1959994495">
      <w:bodyDiv w:val="1"/>
      <w:marLeft w:val="0"/>
      <w:marRight w:val="0"/>
      <w:marTop w:val="0"/>
      <w:marBottom w:val="0"/>
      <w:divBdr>
        <w:top w:val="none" w:sz="0" w:space="0" w:color="auto"/>
        <w:left w:val="none" w:sz="0" w:space="0" w:color="auto"/>
        <w:bottom w:val="none" w:sz="0" w:space="0" w:color="auto"/>
        <w:right w:val="none" w:sz="0" w:space="0" w:color="auto"/>
      </w:divBdr>
    </w:div>
    <w:div w:id="1992126713">
      <w:bodyDiv w:val="1"/>
      <w:marLeft w:val="0"/>
      <w:marRight w:val="0"/>
      <w:marTop w:val="0"/>
      <w:marBottom w:val="0"/>
      <w:divBdr>
        <w:top w:val="none" w:sz="0" w:space="0" w:color="auto"/>
        <w:left w:val="none" w:sz="0" w:space="0" w:color="auto"/>
        <w:bottom w:val="none" w:sz="0" w:space="0" w:color="auto"/>
        <w:right w:val="none" w:sz="0" w:space="0" w:color="auto"/>
      </w:divBdr>
    </w:div>
    <w:div w:id="2076736823">
      <w:bodyDiv w:val="1"/>
      <w:marLeft w:val="0"/>
      <w:marRight w:val="0"/>
      <w:marTop w:val="0"/>
      <w:marBottom w:val="0"/>
      <w:divBdr>
        <w:top w:val="none" w:sz="0" w:space="0" w:color="auto"/>
        <w:left w:val="none" w:sz="0" w:space="0" w:color="auto"/>
        <w:bottom w:val="none" w:sz="0" w:space="0" w:color="auto"/>
        <w:right w:val="none" w:sz="0" w:space="0" w:color="auto"/>
      </w:divBdr>
    </w:div>
    <w:div w:id="2102218116">
      <w:bodyDiv w:val="1"/>
      <w:marLeft w:val="0"/>
      <w:marRight w:val="0"/>
      <w:marTop w:val="0"/>
      <w:marBottom w:val="0"/>
      <w:divBdr>
        <w:top w:val="none" w:sz="0" w:space="0" w:color="auto"/>
        <w:left w:val="none" w:sz="0" w:space="0" w:color="auto"/>
        <w:bottom w:val="none" w:sz="0" w:space="0" w:color="auto"/>
        <w:right w:val="none" w:sz="0" w:space="0" w:color="auto"/>
      </w:divBdr>
    </w:div>
    <w:div w:id="2111928892">
      <w:bodyDiv w:val="1"/>
      <w:marLeft w:val="0"/>
      <w:marRight w:val="0"/>
      <w:marTop w:val="0"/>
      <w:marBottom w:val="0"/>
      <w:divBdr>
        <w:top w:val="none" w:sz="0" w:space="0" w:color="auto"/>
        <w:left w:val="none" w:sz="0" w:space="0" w:color="auto"/>
        <w:bottom w:val="none" w:sz="0" w:space="0" w:color="auto"/>
        <w:right w:val="none" w:sz="0" w:space="0" w:color="auto"/>
      </w:divBdr>
    </w:div>
    <w:div w:id="2122067098">
      <w:bodyDiv w:val="1"/>
      <w:marLeft w:val="0"/>
      <w:marRight w:val="0"/>
      <w:marTop w:val="0"/>
      <w:marBottom w:val="0"/>
      <w:divBdr>
        <w:top w:val="none" w:sz="0" w:space="0" w:color="auto"/>
        <w:left w:val="none" w:sz="0" w:space="0" w:color="auto"/>
        <w:bottom w:val="none" w:sz="0" w:space="0" w:color="auto"/>
        <w:right w:val="none" w:sz="0" w:space="0" w:color="auto"/>
      </w:divBdr>
    </w:div>
    <w:div w:id="2131701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ebmail.mysuperpageshosting.com/hwebmail/services/go.php?url=http%3A%2F%2Fwww.americanbar.org%2Fcontent%2Fdam%2Faba%2Fadministrative%2Ffranchising%2Fmaterials2014%2Fw4.authcheckd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DE25B5-6623-496D-9678-C3E4C1E8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Tharney</cp:lastModifiedBy>
  <cp:revision>12</cp:revision>
  <cp:lastPrinted>2017-06-01T15:38:00Z</cp:lastPrinted>
  <dcterms:created xsi:type="dcterms:W3CDTF">2017-06-02T17:37:00Z</dcterms:created>
  <dcterms:modified xsi:type="dcterms:W3CDTF">2017-06-02T22:15:00Z</dcterms:modified>
</cp:coreProperties>
</file>