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9EC4E" w14:textId="77777777" w:rsidR="00EC1A6A" w:rsidRPr="000121B3" w:rsidRDefault="00EC1A6A" w:rsidP="00EC1A6A">
      <w:pPr>
        <w:jc w:val="center"/>
        <w:rPr>
          <w:rFonts w:eastAsia="Calibri"/>
          <w:b/>
          <w:sz w:val="28"/>
        </w:rPr>
      </w:pPr>
    </w:p>
    <w:p w14:paraId="7ACB1BD6" w14:textId="77777777" w:rsidR="00EC1A6A" w:rsidRPr="000121B3" w:rsidRDefault="00EC1A6A" w:rsidP="00EC1A6A">
      <w:pPr>
        <w:jc w:val="center"/>
        <w:rPr>
          <w:rFonts w:eastAsia="Calibri"/>
          <w:b/>
          <w:sz w:val="28"/>
        </w:rPr>
      </w:pPr>
      <w:r>
        <w:rPr>
          <w:rFonts w:eastAsia="Calibri"/>
          <w:noProof/>
        </w:rPr>
        <w:drawing>
          <wp:inline distT="0" distB="0" distL="0" distR="0" wp14:anchorId="10543B99" wp14:editId="0A7F07E5">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14:paraId="5CF7E716" w14:textId="77777777" w:rsidR="00EC1A6A" w:rsidRPr="000121B3" w:rsidRDefault="00EC1A6A" w:rsidP="00EC1A6A">
      <w:pPr>
        <w:rPr>
          <w:rFonts w:eastAsia="Calibri"/>
          <w:b/>
          <w:sz w:val="28"/>
        </w:rPr>
      </w:pPr>
    </w:p>
    <w:p w14:paraId="2D692B0F" w14:textId="77777777" w:rsidR="00EC1A6A" w:rsidRPr="00AD4A26" w:rsidRDefault="00EC1A6A" w:rsidP="00EC1A6A">
      <w:pPr>
        <w:jc w:val="center"/>
        <w:rPr>
          <w:rFonts w:eastAsia="Calibri"/>
          <w:b/>
        </w:rPr>
      </w:pPr>
      <w:r w:rsidRPr="00AD4A26">
        <w:rPr>
          <w:rFonts w:eastAsia="Calibri"/>
          <w:b/>
        </w:rPr>
        <w:t>NEW JERSEY LAW REVISION COMMISSION</w:t>
      </w:r>
    </w:p>
    <w:p w14:paraId="36A59FCA" w14:textId="77777777" w:rsidR="00EC1A6A" w:rsidRPr="00AD4A26" w:rsidRDefault="00EC1A6A" w:rsidP="00EC1A6A">
      <w:pPr>
        <w:jc w:val="center"/>
        <w:rPr>
          <w:rFonts w:eastAsia="Calibri"/>
          <w:b/>
        </w:rPr>
      </w:pPr>
    </w:p>
    <w:p w14:paraId="0AEFCAD9" w14:textId="77777777" w:rsidR="00EC1A6A" w:rsidRPr="00AD4A26" w:rsidRDefault="00555040" w:rsidP="00EC1A6A">
      <w:pPr>
        <w:jc w:val="center"/>
        <w:rPr>
          <w:rFonts w:eastAsia="Calibri"/>
          <w:b/>
        </w:rPr>
      </w:pPr>
      <w:r w:rsidRPr="00AD4A26">
        <w:rPr>
          <w:rFonts w:eastAsia="Calibri"/>
          <w:b/>
        </w:rPr>
        <w:t xml:space="preserve">Revised </w:t>
      </w:r>
      <w:r w:rsidR="00EC1A6A" w:rsidRPr="00AD4A26">
        <w:rPr>
          <w:rFonts w:eastAsia="Calibri"/>
          <w:b/>
        </w:rPr>
        <w:t>Draft Tentative Report</w:t>
      </w:r>
    </w:p>
    <w:p w14:paraId="2C459EBB" w14:textId="77777777" w:rsidR="00EC1A6A" w:rsidRPr="00AD4A26" w:rsidRDefault="00EC1A6A" w:rsidP="00EC1A6A">
      <w:pPr>
        <w:jc w:val="center"/>
        <w:rPr>
          <w:rFonts w:eastAsia="Calibri"/>
          <w:b/>
        </w:rPr>
      </w:pPr>
      <w:r w:rsidRPr="00AD4A26">
        <w:rPr>
          <w:rFonts w:eastAsia="Calibri"/>
          <w:b/>
        </w:rPr>
        <w:t>Relating to the</w:t>
      </w:r>
    </w:p>
    <w:p w14:paraId="05E732BF" w14:textId="77777777" w:rsidR="00EC1A6A" w:rsidRPr="00AD4A26" w:rsidRDefault="00EC1A6A" w:rsidP="00EC1A6A">
      <w:pPr>
        <w:jc w:val="center"/>
        <w:rPr>
          <w:rFonts w:eastAsia="Calibri"/>
          <w:b/>
        </w:rPr>
      </w:pPr>
      <w:r w:rsidRPr="00AD4A26">
        <w:rPr>
          <w:rFonts w:eastAsia="Calibri"/>
          <w:b/>
        </w:rPr>
        <w:t>Franchise Practices Act</w:t>
      </w:r>
    </w:p>
    <w:p w14:paraId="11926F74" w14:textId="77777777" w:rsidR="00EC1A6A" w:rsidRPr="00AD4A26" w:rsidRDefault="00EC1A6A" w:rsidP="00EC1A6A">
      <w:pPr>
        <w:jc w:val="center"/>
        <w:rPr>
          <w:rFonts w:eastAsia="Calibri"/>
          <w:b/>
        </w:rPr>
      </w:pPr>
    </w:p>
    <w:p w14:paraId="39CA731B" w14:textId="77777777" w:rsidR="00EC1A6A" w:rsidRPr="00AD4A26" w:rsidRDefault="001E274D" w:rsidP="00EC1A6A">
      <w:pPr>
        <w:jc w:val="center"/>
        <w:rPr>
          <w:rFonts w:eastAsia="Calibri"/>
          <w:b/>
        </w:rPr>
      </w:pPr>
      <w:r w:rsidRPr="00AD4A26">
        <w:rPr>
          <w:rFonts w:eastAsia="Calibri"/>
          <w:b/>
        </w:rPr>
        <w:t>J</w:t>
      </w:r>
      <w:r w:rsidR="008E3799" w:rsidRPr="00AD4A26">
        <w:rPr>
          <w:rFonts w:eastAsia="Calibri"/>
          <w:b/>
        </w:rPr>
        <w:t>uly 10</w:t>
      </w:r>
      <w:r w:rsidR="00EC1A6A" w:rsidRPr="00AD4A26">
        <w:rPr>
          <w:rFonts w:eastAsia="Calibri"/>
          <w:b/>
        </w:rPr>
        <w:t>, 201</w:t>
      </w:r>
      <w:r w:rsidRPr="00AD4A26">
        <w:rPr>
          <w:rFonts w:eastAsia="Calibri"/>
          <w:b/>
        </w:rPr>
        <w:t>7</w:t>
      </w:r>
    </w:p>
    <w:p w14:paraId="26AEB4F7" w14:textId="77777777" w:rsidR="00EC1A6A" w:rsidRPr="00AD4A26" w:rsidRDefault="00EC1A6A" w:rsidP="00EC1A6A">
      <w:pPr>
        <w:jc w:val="center"/>
        <w:rPr>
          <w:rFonts w:eastAsia="Calibri"/>
          <w:b/>
        </w:rPr>
      </w:pPr>
    </w:p>
    <w:p w14:paraId="17613FA0" w14:textId="77777777" w:rsidR="00EC1A6A" w:rsidRPr="00AD4A26" w:rsidRDefault="00EC1A6A" w:rsidP="00EC1A6A">
      <w:pPr>
        <w:ind w:firstLine="720"/>
        <w:jc w:val="both"/>
        <w:rPr>
          <w:rFonts w:eastAsia="Calibri"/>
        </w:rPr>
      </w:pPr>
      <w:r w:rsidRPr="00AD4A26">
        <w:rPr>
          <w:rFonts w:eastAsia="Calibri"/>
        </w:rPr>
        <w:t>The New Jersey Law Revision Commission is required to “[c]</w:t>
      </w:r>
      <w:proofErr w:type="spellStart"/>
      <w:r w:rsidRPr="00AD4A26">
        <w:rPr>
          <w:rFonts w:eastAsia="Calibri"/>
        </w:rPr>
        <w:t>onduct</w:t>
      </w:r>
      <w:proofErr w:type="spellEnd"/>
      <w:r w:rsidRPr="00AD4A26">
        <w:rPr>
          <w:rFonts w:eastAsia="Calibri"/>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N.J.S. 1:12A-8.</w:t>
      </w:r>
    </w:p>
    <w:p w14:paraId="08D29314" w14:textId="77777777" w:rsidR="00EC1A6A" w:rsidRPr="00AD4A26" w:rsidRDefault="00EC1A6A" w:rsidP="00EC1A6A">
      <w:pPr>
        <w:tabs>
          <w:tab w:val="left" w:pos="3540"/>
        </w:tabs>
        <w:jc w:val="both"/>
        <w:rPr>
          <w:rFonts w:eastAsia="Calibri"/>
        </w:rPr>
      </w:pPr>
      <w:r w:rsidRPr="00AD4A26">
        <w:rPr>
          <w:rFonts w:eastAsia="Calibri"/>
        </w:rPr>
        <w:tab/>
      </w:r>
    </w:p>
    <w:p w14:paraId="1161115A" w14:textId="77777777" w:rsidR="00EC1A6A" w:rsidRPr="00AD4A26" w:rsidRDefault="00EC1A6A" w:rsidP="00EC1A6A">
      <w:pPr>
        <w:ind w:firstLine="720"/>
        <w:jc w:val="both"/>
        <w:rPr>
          <w:rFonts w:eastAsia="Calibri"/>
        </w:rPr>
      </w:pPr>
      <w:r w:rsidRPr="00AD4A26">
        <w:rPr>
          <w:rFonts w:eastAsia="Calibri"/>
        </w:rPr>
        <w:t>This Report is distributed to advise interested persons of the Commission's tentative recommendations and to notify them of the opportunity to submit comments. Comments should be received by the Commission no later than</w:t>
      </w:r>
      <w:r w:rsidR="00E86B36" w:rsidRPr="00AD4A26">
        <w:rPr>
          <w:rFonts w:eastAsia="Calibri"/>
          <w:b/>
        </w:rPr>
        <w:t xml:space="preserve"> </w:t>
      </w:r>
      <w:r w:rsidR="008E3799" w:rsidRPr="00AD4A26">
        <w:rPr>
          <w:rFonts w:eastAsia="Calibri"/>
          <w:b/>
        </w:rPr>
        <w:t>August 25</w:t>
      </w:r>
      <w:r w:rsidR="00E86B36" w:rsidRPr="00AD4A26">
        <w:rPr>
          <w:rFonts w:eastAsia="Calibri"/>
          <w:b/>
        </w:rPr>
        <w:t>, 2017</w:t>
      </w:r>
      <w:r w:rsidR="00E86B36" w:rsidRPr="00AD4A26">
        <w:rPr>
          <w:rFonts w:eastAsia="Calibri"/>
        </w:rPr>
        <w:t>.</w:t>
      </w:r>
    </w:p>
    <w:p w14:paraId="53E36E2E" w14:textId="77777777" w:rsidR="00EC1A6A" w:rsidRPr="00AD4A26" w:rsidRDefault="00EC1A6A" w:rsidP="00EC1A6A">
      <w:pPr>
        <w:jc w:val="both"/>
        <w:rPr>
          <w:rFonts w:eastAsia="Calibri"/>
        </w:rPr>
      </w:pPr>
    </w:p>
    <w:p w14:paraId="5706B54C" w14:textId="77777777" w:rsidR="00EC1A6A" w:rsidRPr="00AD4A26" w:rsidRDefault="00EC1A6A" w:rsidP="00EC1A6A">
      <w:pPr>
        <w:ind w:firstLine="720"/>
        <w:jc w:val="both"/>
        <w:rPr>
          <w:rFonts w:eastAsia="Calibri"/>
        </w:rPr>
      </w:pPr>
      <w:r w:rsidRPr="00AD4A26">
        <w:rPr>
          <w:rFonts w:eastAsia="Calibri"/>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14:paraId="3766159A" w14:textId="77777777" w:rsidR="00EC1A6A" w:rsidRPr="00AD4A26" w:rsidRDefault="00EC1A6A" w:rsidP="00EC1A6A">
      <w:pPr>
        <w:jc w:val="center"/>
        <w:rPr>
          <w:rFonts w:eastAsia="Calibri"/>
        </w:rPr>
      </w:pPr>
    </w:p>
    <w:p w14:paraId="62578B7C" w14:textId="77777777" w:rsidR="00DF40F5" w:rsidRPr="00AD4A26" w:rsidRDefault="00DF40F5" w:rsidP="00EC1A6A">
      <w:pPr>
        <w:jc w:val="center"/>
        <w:rPr>
          <w:rFonts w:eastAsia="Calibri"/>
        </w:rPr>
      </w:pPr>
    </w:p>
    <w:p w14:paraId="538F0C61" w14:textId="77777777" w:rsidR="00EC1A6A" w:rsidRPr="00AD4A26" w:rsidRDefault="00EC1A6A" w:rsidP="00EC1A6A">
      <w:pPr>
        <w:jc w:val="center"/>
        <w:rPr>
          <w:rFonts w:eastAsia="Calibri"/>
        </w:rPr>
      </w:pPr>
      <w:r w:rsidRPr="00AD4A26">
        <w:rPr>
          <w:rFonts w:eastAsia="Calibri"/>
        </w:rPr>
        <w:t>Jayne J. Johnson, Counsel</w:t>
      </w:r>
    </w:p>
    <w:p w14:paraId="31DADA81" w14:textId="77777777" w:rsidR="00EC1A6A" w:rsidRPr="00AD4A26" w:rsidRDefault="00EC1A6A" w:rsidP="00EC1A6A">
      <w:pPr>
        <w:spacing w:line="240" w:lineRule="exact"/>
        <w:jc w:val="center"/>
        <w:rPr>
          <w:rFonts w:eastAsia="Calibri"/>
        </w:rPr>
      </w:pPr>
      <w:r w:rsidRPr="00AD4A26">
        <w:rPr>
          <w:rFonts w:eastAsia="Calibri"/>
        </w:rPr>
        <w:t>New Jersey Law Revision Commission</w:t>
      </w:r>
    </w:p>
    <w:p w14:paraId="33FD449B" w14:textId="77777777" w:rsidR="00EC1A6A" w:rsidRPr="00AD4A26" w:rsidRDefault="00EC1A6A" w:rsidP="00EC1A6A">
      <w:pPr>
        <w:spacing w:line="240" w:lineRule="exact"/>
        <w:jc w:val="center"/>
        <w:rPr>
          <w:rFonts w:eastAsia="Calibri"/>
        </w:rPr>
      </w:pPr>
      <w:r w:rsidRPr="00AD4A26">
        <w:rPr>
          <w:rFonts w:eastAsia="Calibri"/>
        </w:rPr>
        <w:t>153 Halsey Street, 7th Fl., Box 47016</w:t>
      </w:r>
    </w:p>
    <w:p w14:paraId="163DBB90" w14:textId="77777777" w:rsidR="00EC1A6A" w:rsidRPr="00AD4A26" w:rsidRDefault="00EC1A6A" w:rsidP="00EC1A6A">
      <w:pPr>
        <w:spacing w:line="240" w:lineRule="exact"/>
        <w:jc w:val="center"/>
        <w:rPr>
          <w:rFonts w:eastAsia="Calibri"/>
        </w:rPr>
      </w:pPr>
      <w:r w:rsidRPr="00AD4A26">
        <w:rPr>
          <w:rFonts w:eastAsia="Calibri"/>
        </w:rPr>
        <w:t>Newark, New Jersey 07102</w:t>
      </w:r>
    </w:p>
    <w:p w14:paraId="59514134" w14:textId="77777777" w:rsidR="00EC1A6A" w:rsidRPr="00AD4A26" w:rsidRDefault="00EC1A6A" w:rsidP="00EC1A6A">
      <w:pPr>
        <w:spacing w:line="240" w:lineRule="exact"/>
        <w:jc w:val="center"/>
        <w:rPr>
          <w:rFonts w:eastAsia="Calibri"/>
        </w:rPr>
      </w:pPr>
      <w:r w:rsidRPr="00AD4A26">
        <w:rPr>
          <w:rFonts w:eastAsia="Calibri"/>
        </w:rPr>
        <w:t>973-648-4575</w:t>
      </w:r>
    </w:p>
    <w:p w14:paraId="1D3F4315" w14:textId="77777777" w:rsidR="00EC1A6A" w:rsidRPr="00AD4A26" w:rsidRDefault="00EC1A6A" w:rsidP="00EC1A6A">
      <w:pPr>
        <w:spacing w:line="240" w:lineRule="exact"/>
        <w:jc w:val="center"/>
        <w:rPr>
          <w:rFonts w:eastAsia="Calibri"/>
        </w:rPr>
      </w:pPr>
      <w:r w:rsidRPr="00AD4A26">
        <w:rPr>
          <w:rFonts w:eastAsia="Calibri"/>
        </w:rPr>
        <w:t>(Fax) 973-648-3123</w:t>
      </w:r>
    </w:p>
    <w:p w14:paraId="1EFD3248" w14:textId="77777777" w:rsidR="00EC1A6A" w:rsidRPr="00AD4A26" w:rsidRDefault="00EC1A6A" w:rsidP="00EC1A6A">
      <w:pPr>
        <w:spacing w:line="240" w:lineRule="exact"/>
        <w:jc w:val="center"/>
        <w:rPr>
          <w:rFonts w:eastAsia="Calibri"/>
        </w:rPr>
      </w:pPr>
      <w:r w:rsidRPr="00AD4A26">
        <w:rPr>
          <w:rFonts w:eastAsia="Calibri"/>
        </w:rPr>
        <w:t>Email: njlrc@njlrc.org</w:t>
      </w:r>
    </w:p>
    <w:p w14:paraId="727EA9BA" w14:textId="77777777" w:rsidR="00EC1A6A" w:rsidRPr="00AD4A26" w:rsidRDefault="00EC1A6A" w:rsidP="00EC1A6A">
      <w:pPr>
        <w:spacing w:line="240" w:lineRule="exact"/>
        <w:jc w:val="center"/>
        <w:rPr>
          <w:rFonts w:eastAsia="Calibri"/>
        </w:rPr>
      </w:pPr>
      <w:r w:rsidRPr="00AD4A26">
        <w:rPr>
          <w:rFonts w:eastAsia="Calibri"/>
        </w:rPr>
        <w:t>Website:  http://www.njlrc.org</w:t>
      </w:r>
    </w:p>
    <w:p w14:paraId="00423FE8" w14:textId="77777777" w:rsidR="00EC1A6A" w:rsidRPr="00AD4A26" w:rsidRDefault="00EC1A6A" w:rsidP="00EC1A6A">
      <w:pPr>
        <w:pStyle w:val="Normal1"/>
        <w:widowControl w:val="0"/>
        <w:spacing w:after="0"/>
        <w:jc w:val="center"/>
        <w:rPr>
          <w:rFonts w:ascii="Times New Roman" w:eastAsia="Times New Roman" w:hAnsi="Times New Roman" w:cs="Times New Roman"/>
          <w:b/>
          <w:smallCaps/>
          <w:sz w:val="24"/>
          <w:szCs w:val="24"/>
        </w:rPr>
      </w:pPr>
      <w:r w:rsidRPr="00AD4A26">
        <w:rPr>
          <w:rFonts w:ascii="Times New Roman" w:eastAsia="Calibri" w:hAnsi="Times New Roman" w:cs="Times New Roman"/>
          <w:sz w:val="24"/>
          <w:szCs w:val="24"/>
        </w:rPr>
        <w:br w:type="page"/>
      </w:r>
      <w:r w:rsidRPr="00AD4A26">
        <w:rPr>
          <w:rFonts w:ascii="Times New Roman" w:eastAsia="Times New Roman" w:hAnsi="Times New Roman" w:cs="Times New Roman"/>
          <w:b/>
          <w:smallCaps/>
          <w:sz w:val="24"/>
          <w:szCs w:val="24"/>
        </w:rPr>
        <w:lastRenderedPageBreak/>
        <w:t>Executive Summary</w:t>
      </w:r>
    </w:p>
    <w:p w14:paraId="089A5A29" w14:textId="77777777" w:rsidR="00B2454D" w:rsidRPr="00AD4A26" w:rsidRDefault="00B2454D" w:rsidP="003F10AA">
      <w:pPr>
        <w:pStyle w:val="Normal1"/>
        <w:widowControl w:val="0"/>
        <w:spacing w:before="120" w:after="120"/>
        <w:jc w:val="center"/>
        <w:rPr>
          <w:rFonts w:ascii="Times New Roman" w:eastAsia="Times New Roman" w:hAnsi="Times New Roman" w:cs="Times New Roman"/>
          <w:b/>
          <w:smallCaps/>
          <w:sz w:val="24"/>
          <w:szCs w:val="24"/>
        </w:rPr>
      </w:pPr>
    </w:p>
    <w:p w14:paraId="24819730" w14:textId="77777777" w:rsidR="005C5C01" w:rsidRPr="00AD4A26" w:rsidRDefault="005C5C01" w:rsidP="00496B6C">
      <w:pPr>
        <w:pStyle w:val="NoSpacing"/>
        <w:spacing w:before="120" w:after="120" w:line="276" w:lineRule="auto"/>
        <w:ind w:firstLine="720"/>
        <w:jc w:val="both"/>
      </w:pPr>
      <w:r w:rsidRPr="00AD4A26">
        <w:t>Under</w:t>
      </w:r>
      <w:r w:rsidR="00F27B95" w:rsidRPr="00AD4A26">
        <w:t xml:space="preserve"> N.J.S. 56:10-</w:t>
      </w:r>
      <w:r w:rsidRPr="00AD4A26">
        <w:t>4</w:t>
      </w:r>
      <w:r w:rsidR="006C0DB5" w:rsidRPr="00AD4A26">
        <w:t xml:space="preserve"> subsection </w:t>
      </w:r>
      <w:r w:rsidR="00425C4D" w:rsidRPr="00AD4A26">
        <w:t>a</w:t>
      </w:r>
      <w:proofErr w:type="gramStart"/>
      <w:r w:rsidR="006C0DB5" w:rsidRPr="00AD4A26">
        <w:t>.</w:t>
      </w:r>
      <w:r w:rsidR="0090142C" w:rsidRPr="00AD4A26">
        <w:t>(</w:t>
      </w:r>
      <w:proofErr w:type="gramEnd"/>
      <w:r w:rsidRPr="00AD4A26">
        <w:t>2</w:t>
      </w:r>
      <w:r w:rsidR="0090142C" w:rsidRPr="00AD4A26">
        <w:t>)</w:t>
      </w:r>
      <w:r w:rsidRPr="00AD4A26">
        <w:t xml:space="preserve"> of the New Jersey Franchise Practices Act, the gross sales threshold currently applies only to a franchise</w:t>
      </w:r>
      <w:r w:rsidR="00425C4D" w:rsidRPr="00AD4A26">
        <w:t xml:space="preserve"> </w:t>
      </w:r>
      <w:r w:rsidRPr="00AD4A26">
        <w:t xml:space="preserve">where </w:t>
      </w:r>
      <w:r w:rsidR="00425C4D" w:rsidRPr="00AD4A26">
        <w:t>“</w:t>
      </w:r>
      <w:r w:rsidRPr="00AD4A26">
        <w:t xml:space="preserve">gross sales of products or services between the franchisor and franchisee covered by such franchise shall have exceeded $35,000.00 for the </w:t>
      </w:r>
      <w:r w:rsidRPr="00AD4A26">
        <w:rPr>
          <w:i/>
        </w:rPr>
        <w:t>12 months next pr</w:t>
      </w:r>
      <w:r w:rsidR="00425C4D" w:rsidRPr="00AD4A26">
        <w:rPr>
          <w:i/>
        </w:rPr>
        <w:t>eceding the institution of suit</w:t>
      </w:r>
      <w:r w:rsidRPr="00AD4A26">
        <w:t>.”</w:t>
      </w:r>
    </w:p>
    <w:p w14:paraId="1A91C873" w14:textId="77777777" w:rsidR="005C5C01" w:rsidRPr="00AD4A26" w:rsidRDefault="005C5C01" w:rsidP="00496B6C">
      <w:pPr>
        <w:pStyle w:val="NoSpacing"/>
        <w:spacing w:before="120" w:after="120" w:line="276" w:lineRule="auto"/>
        <w:ind w:firstLine="720"/>
        <w:jc w:val="both"/>
      </w:pPr>
      <w:r w:rsidRPr="00AD4A26">
        <w:t xml:space="preserve"> In </w:t>
      </w:r>
      <w:r w:rsidRPr="00AD4A26">
        <w:rPr>
          <w:i/>
        </w:rPr>
        <w:t xml:space="preserve">Tynan v. General Motors Corp., </w:t>
      </w:r>
      <w:r w:rsidRPr="00AD4A26">
        <w:t>the New Jersey Supreme Court considered th</w:t>
      </w:r>
      <w:r w:rsidR="00A1143B" w:rsidRPr="00AD4A26">
        <w:t xml:space="preserve">is provision </w:t>
      </w:r>
      <w:r w:rsidR="00425C4D" w:rsidRPr="00AD4A26">
        <w:t>when reviewing the A</w:t>
      </w:r>
      <w:r w:rsidRPr="00AD4A26">
        <w:t>ppellate Division</w:t>
      </w:r>
      <w:r w:rsidR="00425C4D" w:rsidRPr="00AD4A26">
        <w:t xml:space="preserve"> decision to dismiss a claim as </w:t>
      </w:r>
      <w:r w:rsidR="003C5FF6" w:rsidRPr="00AD4A26">
        <w:t xml:space="preserve">untimely; </w:t>
      </w:r>
      <w:r w:rsidRPr="00AD4A26">
        <w:t xml:space="preserve">where </w:t>
      </w:r>
      <w:r w:rsidR="00425C4D" w:rsidRPr="00AD4A26">
        <w:t>the</w:t>
      </w:r>
      <w:r w:rsidRPr="00AD4A26">
        <w:t xml:space="preserve"> plaintiff</w:t>
      </w:r>
      <w:r w:rsidR="00425C4D" w:rsidRPr="00AD4A26">
        <w:t xml:space="preserve"> </w:t>
      </w:r>
      <w:r w:rsidRPr="00AD4A26">
        <w:t xml:space="preserve">had not operated his franchise within </w:t>
      </w:r>
      <w:r w:rsidR="00425C4D" w:rsidRPr="00AD4A26">
        <w:t xml:space="preserve">the </w:t>
      </w:r>
      <w:r w:rsidRPr="00AD4A26">
        <w:t xml:space="preserve">twelve months before filing suit and </w:t>
      </w:r>
      <w:r w:rsidR="00425C4D" w:rsidRPr="00AD4A26">
        <w:t>as a consequence,</w:t>
      </w:r>
      <w:r w:rsidRPr="00AD4A26">
        <w:t xml:space="preserve"> </w:t>
      </w:r>
      <w:r w:rsidR="003C5FF6" w:rsidRPr="00AD4A26">
        <w:t xml:space="preserve">had no </w:t>
      </w:r>
      <w:r w:rsidR="00425C4D" w:rsidRPr="00AD4A26">
        <w:t xml:space="preserve">gross sales </w:t>
      </w:r>
      <w:r w:rsidRPr="00AD4A26">
        <w:t>during that period</w:t>
      </w:r>
      <w:r w:rsidR="003C5FF6" w:rsidRPr="00AD4A26">
        <w:t>.</w:t>
      </w:r>
    </w:p>
    <w:p w14:paraId="65C39AF6" w14:textId="77777777" w:rsidR="00425C4D" w:rsidRPr="00AD4A26" w:rsidRDefault="005C5C01" w:rsidP="00496B6C">
      <w:pPr>
        <w:pStyle w:val="NoSpacing"/>
        <w:spacing w:before="120" w:after="120" w:line="276" w:lineRule="auto"/>
        <w:ind w:firstLine="720"/>
        <w:jc w:val="both"/>
      </w:pPr>
      <w:r w:rsidRPr="00AD4A26">
        <w:t xml:space="preserve">The </w:t>
      </w:r>
      <w:r w:rsidR="002377EF" w:rsidRPr="00AD4A26">
        <w:t xml:space="preserve">New Jersey </w:t>
      </w:r>
      <w:r w:rsidRPr="00AD4A26">
        <w:t xml:space="preserve">Supreme Court </w:t>
      </w:r>
      <w:r w:rsidR="002377EF" w:rsidRPr="00AD4A26">
        <w:t>holding</w:t>
      </w:r>
      <w:r w:rsidRPr="00AD4A26">
        <w:t xml:space="preserve"> reflected the conclusion of Appellate Division Judge </w:t>
      </w:r>
      <w:r w:rsidR="0090142C" w:rsidRPr="00AD4A26">
        <w:t xml:space="preserve">Benjamin </w:t>
      </w:r>
      <w:r w:rsidRPr="00AD4A26">
        <w:t xml:space="preserve">Cohen, who in his dissenting opinion found that the </w:t>
      </w:r>
      <w:r w:rsidR="003C5FF6" w:rsidRPr="00AD4A26">
        <w:t xml:space="preserve">statutory period </w:t>
      </w:r>
      <w:r w:rsidR="00425C4D" w:rsidRPr="00AD4A26">
        <w:t xml:space="preserve">should be </w:t>
      </w:r>
      <w:r w:rsidRPr="00AD4A26">
        <w:t xml:space="preserve">limited to </w:t>
      </w:r>
      <w:r w:rsidR="003C5FF6" w:rsidRPr="00AD4A26">
        <w:t xml:space="preserve">existing </w:t>
      </w:r>
      <w:r w:rsidRPr="00AD4A26">
        <w:t xml:space="preserve">franchises </w:t>
      </w:r>
      <w:r w:rsidR="00F27B95" w:rsidRPr="00AD4A26">
        <w:t>that are</w:t>
      </w:r>
      <w:r w:rsidRPr="00AD4A26">
        <w:t xml:space="preserve"> </w:t>
      </w:r>
      <w:r w:rsidR="00425C4D" w:rsidRPr="00AD4A26">
        <w:t>operating</w:t>
      </w:r>
      <w:r w:rsidRPr="00AD4A26">
        <w:t xml:space="preserve"> when </w:t>
      </w:r>
      <w:r w:rsidR="002377EF" w:rsidRPr="00AD4A26">
        <w:t xml:space="preserve">the </w:t>
      </w:r>
      <w:r w:rsidRPr="00AD4A26">
        <w:t xml:space="preserve">suit </w:t>
      </w:r>
      <w:r w:rsidR="003C5FF6" w:rsidRPr="00AD4A26">
        <w:t>commences</w:t>
      </w:r>
      <w:r w:rsidRPr="00AD4A26">
        <w:t xml:space="preserve">. </w:t>
      </w:r>
      <w:r w:rsidR="00425C4D" w:rsidRPr="00AD4A26">
        <w:t>“</w:t>
      </w:r>
      <w:r w:rsidRPr="00AD4A26">
        <w:t>Businesses that have terminated before suit starts must have their gross sales calculated for the last 12 months they existed.”</w:t>
      </w:r>
      <w:r w:rsidR="00425C4D" w:rsidRPr="00AD4A26">
        <w:t xml:space="preserve"> </w:t>
      </w:r>
      <w:r w:rsidRPr="00AD4A26">
        <w:t xml:space="preserve">This </w:t>
      </w:r>
      <w:r w:rsidR="002377EF" w:rsidRPr="00AD4A26">
        <w:t xml:space="preserve">Revised Draft Tentative </w:t>
      </w:r>
      <w:r w:rsidRPr="00AD4A26">
        <w:t xml:space="preserve">Report recommends clarifying </w:t>
      </w:r>
      <w:r w:rsidR="00F27B95" w:rsidRPr="00AD4A26">
        <w:t>N.J.S. 56:10-</w:t>
      </w:r>
      <w:r w:rsidRPr="00AD4A26">
        <w:t>4</w:t>
      </w:r>
      <w:r w:rsidR="006C0DB5" w:rsidRPr="00AD4A26">
        <w:t xml:space="preserve"> subsection </w:t>
      </w:r>
      <w:r w:rsidRPr="00AD4A26">
        <w:t>a</w:t>
      </w:r>
      <w:proofErr w:type="gramStart"/>
      <w:r w:rsidR="006C0DB5" w:rsidRPr="00AD4A26">
        <w:t>.</w:t>
      </w:r>
      <w:r w:rsidR="0090142C" w:rsidRPr="00AD4A26">
        <w:t>(</w:t>
      </w:r>
      <w:proofErr w:type="gramEnd"/>
      <w:r w:rsidRPr="00AD4A26">
        <w:t>2</w:t>
      </w:r>
      <w:r w:rsidR="0090142C" w:rsidRPr="00AD4A26">
        <w:t>)</w:t>
      </w:r>
      <w:r w:rsidR="00F27B95" w:rsidRPr="00AD4A26">
        <w:t>,</w:t>
      </w:r>
      <w:r w:rsidRPr="00AD4A26">
        <w:t xml:space="preserve"> in accord with the </w:t>
      </w:r>
      <w:r w:rsidR="00EB42EA" w:rsidRPr="00AD4A26">
        <w:t xml:space="preserve">New Jersey Supreme Court decision in </w:t>
      </w:r>
      <w:r w:rsidR="00EB42EA" w:rsidRPr="00AD4A26">
        <w:rPr>
          <w:i/>
        </w:rPr>
        <w:t>Tynan v. General Motors Corp.</w:t>
      </w:r>
    </w:p>
    <w:p w14:paraId="1C1CB3E3" w14:textId="77777777" w:rsidR="002377EF" w:rsidRPr="00AD4A26" w:rsidRDefault="00425C4D" w:rsidP="00496B6C">
      <w:pPr>
        <w:pStyle w:val="NoSpacing"/>
        <w:spacing w:before="120" w:after="120" w:line="276" w:lineRule="auto"/>
        <w:ind w:firstLine="720"/>
        <w:jc w:val="both"/>
      </w:pPr>
      <w:r w:rsidRPr="00AD4A26">
        <w:t xml:space="preserve"> </w:t>
      </w:r>
      <w:r w:rsidR="005C5C01" w:rsidRPr="00AD4A26">
        <w:t xml:space="preserve">This </w:t>
      </w:r>
      <w:r w:rsidRPr="00AD4A26">
        <w:t>R</w:t>
      </w:r>
      <w:r w:rsidR="005C5C01" w:rsidRPr="00AD4A26">
        <w:t xml:space="preserve">eport also considers </w:t>
      </w:r>
      <w:r w:rsidR="00F27B95" w:rsidRPr="00AD4A26">
        <w:t>N.J.S. 56:10-</w:t>
      </w:r>
      <w:r w:rsidR="005C5C01" w:rsidRPr="00AD4A26">
        <w:t xml:space="preserve">7.3 of the </w:t>
      </w:r>
      <w:r w:rsidR="00F27B95" w:rsidRPr="00AD4A26">
        <w:t>New Jersey Franchise Practices Act</w:t>
      </w:r>
      <w:r w:rsidR="005C5C01" w:rsidRPr="00AD4A26">
        <w:t xml:space="preserve"> which governs prohibition</w:t>
      </w:r>
      <w:r w:rsidR="00EB42EA" w:rsidRPr="00AD4A26">
        <w:t>s</w:t>
      </w:r>
      <w:r w:rsidR="005C5C01" w:rsidRPr="00AD4A26">
        <w:t xml:space="preserve"> of certain terms </w:t>
      </w:r>
      <w:r w:rsidR="00EB42EA" w:rsidRPr="00AD4A26">
        <w:t xml:space="preserve">contained in </w:t>
      </w:r>
      <w:r w:rsidR="005C5C01" w:rsidRPr="00AD4A26">
        <w:t>forum-selection and arbitration clauses</w:t>
      </w:r>
      <w:r w:rsidR="00EB42EA" w:rsidRPr="00AD4A26">
        <w:t xml:space="preserve"> of motor-vehicle franchise agreements</w:t>
      </w:r>
      <w:r w:rsidR="005C5C01" w:rsidRPr="00AD4A26">
        <w:t>.</w:t>
      </w:r>
      <w:r w:rsidR="00F27B95" w:rsidRPr="00AD4A26">
        <w:t xml:space="preserve"> </w:t>
      </w:r>
      <w:r w:rsidR="00EB42EA" w:rsidRPr="00AD4A26">
        <w:t xml:space="preserve">Prior NJLRC </w:t>
      </w:r>
      <w:r w:rsidRPr="00AD4A26">
        <w:t xml:space="preserve">Draft Reports </w:t>
      </w:r>
      <w:r w:rsidR="00EB42EA" w:rsidRPr="00AD4A26">
        <w:t xml:space="preserve">concerning this </w:t>
      </w:r>
      <w:r w:rsidR="003C5FF6" w:rsidRPr="00AD4A26">
        <w:t>section</w:t>
      </w:r>
      <w:r w:rsidR="00EB42EA" w:rsidRPr="00AD4A26">
        <w:t xml:space="preserve"> considered</w:t>
      </w:r>
      <w:r w:rsidR="005C5C01" w:rsidRPr="00AD4A26">
        <w:t xml:space="preserve"> expanding the scope of this </w:t>
      </w:r>
      <w:r w:rsidR="003C5FF6" w:rsidRPr="00AD4A26">
        <w:t>provisi</w:t>
      </w:r>
      <w:r w:rsidR="00EB42EA" w:rsidRPr="00AD4A26">
        <w:t xml:space="preserve">on. </w:t>
      </w:r>
      <w:r w:rsidRPr="00AD4A26">
        <w:t xml:space="preserve">Most recently, following the decision of the United States Supreme Court in </w:t>
      </w:r>
      <w:r w:rsidRPr="00AD4A26">
        <w:rPr>
          <w:i/>
        </w:rPr>
        <w:t>Kindred Nursing, L.P. v. Clark</w:t>
      </w:r>
      <w:r w:rsidRPr="00AD4A26">
        <w:t xml:space="preserve">, </w:t>
      </w:r>
      <w:r w:rsidR="00101019" w:rsidRPr="00AD4A26">
        <w:t xml:space="preserve">concerning state statutes which disfavor arbitration agreements, </w:t>
      </w:r>
      <w:r w:rsidRPr="00AD4A26">
        <w:t>t</w:t>
      </w:r>
      <w:r w:rsidR="00EB42EA" w:rsidRPr="00AD4A26">
        <w:t xml:space="preserve">he work of </w:t>
      </w:r>
      <w:r w:rsidR="00101019" w:rsidRPr="00AD4A26">
        <w:t xml:space="preserve">the NJLRC regarding </w:t>
      </w:r>
      <w:r w:rsidR="00F27B95" w:rsidRPr="00AD4A26">
        <w:t>sub</w:t>
      </w:r>
      <w:r w:rsidR="00101019" w:rsidRPr="00AD4A26">
        <w:t>section 7.3 w</w:t>
      </w:r>
      <w:r w:rsidR="00EB42EA" w:rsidRPr="00AD4A26">
        <w:t>as revisited</w:t>
      </w:r>
      <w:r w:rsidRPr="00AD4A26">
        <w:t xml:space="preserve">. </w:t>
      </w:r>
    </w:p>
    <w:p w14:paraId="142DC576" w14:textId="77777777" w:rsidR="005C5C01" w:rsidRPr="00AD4A26" w:rsidRDefault="00EB42EA" w:rsidP="00496B6C">
      <w:pPr>
        <w:spacing w:before="120" w:after="120" w:line="276" w:lineRule="auto"/>
        <w:ind w:firstLine="720"/>
        <w:jc w:val="both"/>
      </w:pPr>
      <w:r w:rsidRPr="00AD4A26">
        <w:t xml:space="preserve">This Report </w:t>
      </w:r>
      <w:r w:rsidR="005C5C01" w:rsidRPr="00AD4A26">
        <w:t>recommends</w:t>
      </w:r>
      <w:r w:rsidR="00896D8B" w:rsidRPr="00AD4A26">
        <w:t xml:space="preserve"> clarifying </w:t>
      </w:r>
      <w:r w:rsidR="00F27B95" w:rsidRPr="00AD4A26">
        <w:t>N.J.S. 56:10-7</w:t>
      </w:r>
      <w:r w:rsidR="005C5C01" w:rsidRPr="00AD4A26">
        <w:t>.3</w:t>
      </w:r>
      <w:r w:rsidRPr="00AD4A26">
        <w:t>,</w:t>
      </w:r>
      <w:r w:rsidR="005C5C01" w:rsidRPr="00AD4A26">
        <w:t xml:space="preserve"> </w:t>
      </w:r>
      <w:r w:rsidR="00896D8B" w:rsidRPr="00AD4A26">
        <w:t xml:space="preserve">to avoid confusion for franchisors or franchisees relying on the statute for guidance, by repealing portions of the subsection </w:t>
      </w:r>
      <w:r w:rsidR="005C5C01" w:rsidRPr="00AD4A26">
        <w:t>that are invalidated by the Federal Arbitration Act</w:t>
      </w:r>
      <w:r w:rsidR="00896D8B" w:rsidRPr="00AD4A26">
        <w:t>,</w:t>
      </w:r>
      <w:r w:rsidR="005C5C01" w:rsidRPr="00AD4A26">
        <w:t xml:space="preserve"> as identified by the U.S. Supreme Court in </w:t>
      </w:r>
      <w:r w:rsidR="003C5FF6" w:rsidRPr="00AD4A26">
        <w:t xml:space="preserve">the </w:t>
      </w:r>
      <w:r w:rsidR="005C5C01" w:rsidRPr="00AD4A26">
        <w:rPr>
          <w:i/>
        </w:rPr>
        <w:t>Kindred Nursing</w:t>
      </w:r>
      <w:r w:rsidR="003C5FF6" w:rsidRPr="00AD4A26">
        <w:t xml:space="preserve"> decision</w:t>
      </w:r>
      <w:r w:rsidR="005C5C01" w:rsidRPr="00AD4A26">
        <w:t>.</w:t>
      </w:r>
    </w:p>
    <w:p w14:paraId="3AFD09F9" w14:textId="77777777" w:rsidR="003F10AA" w:rsidRPr="00AD4A26" w:rsidRDefault="00896D8B" w:rsidP="00496B6C">
      <w:pPr>
        <w:spacing w:before="120" w:after="120" w:line="276" w:lineRule="auto"/>
      </w:pPr>
      <w:r w:rsidRPr="00AD4A26">
        <w:tab/>
      </w:r>
    </w:p>
    <w:p w14:paraId="18746196" w14:textId="77777777" w:rsidR="00EC1A6A" w:rsidRPr="00AD4A26" w:rsidRDefault="00EC1A6A" w:rsidP="00496B6C">
      <w:pPr>
        <w:pStyle w:val="NoSpacing"/>
        <w:numPr>
          <w:ilvl w:val="0"/>
          <w:numId w:val="1"/>
        </w:numPr>
        <w:spacing w:before="120" w:after="120" w:line="276" w:lineRule="auto"/>
        <w:ind w:left="0" w:firstLine="0"/>
        <w:jc w:val="center"/>
        <w:rPr>
          <w:b/>
          <w:smallCaps/>
        </w:rPr>
      </w:pPr>
      <w:r w:rsidRPr="00AD4A26">
        <w:rPr>
          <w:b/>
          <w:smallCaps/>
        </w:rPr>
        <w:t>Legislative Findings and Intent</w:t>
      </w:r>
    </w:p>
    <w:p w14:paraId="30C9598E" w14:textId="6A14DA48" w:rsidR="00CA312B" w:rsidRPr="00AD4A26" w:rsidRDefault="00CA312B" w:rsidP="00C47263">
      <w:pPr>
        <w:widowControl w:val="0"/>
        <w:spacing w:before="120" w:after="120" w:line="276" w:lineRule="auto"/>
        <w:ind w:firstLine="720"/>
        <w:jc w:val="both"/>
        <w:rPr>
          <w:bCs/>
        </w:rPr>
      </w:pPr>
      <w:r w:rsidRPr="00AD4A26">
        <w:t>The New Jersey Franchise Practices Act (</w:t>
      </w:r>
      <w:r w:rsidR="00D237F5" w:rsidRPr="00AD4A26">
        <w:t>NJFPA</w:t>
      </w:r>
      <w:r w:rsidRPr="00AD4A26">
        <w:t xml:space="preserve"> or the Act) “was one of the earliest state </w:t>
      </w:r>
      <w:r w:rsidRPr="00AD4A26">
        <w:rPr>
          <w:rStyle w:val="cosearchterm7"/>
          <w:b w:val="0"/>
          <w:color w:val="auto"/>
        </w:rPr>
        <w:t>franchise</w:t>
      </w:r>
      <w:r w:rsidRPr="00AD4A26">
        <w:t xml:space="preserve"> protectio</w:t>
      </w:r>
      <w:r w:rsidR="005C5C01" w:rsidRPr="00AD4A26">
        <w:t>n statutes in the United States</w:t>
      </w:r>
      <w:r w:rsidRPr="00AD4A26">
        <w:t>”</w:t>
      </w:r>
      <w:r w:rsidR="005C5C01" w:rsidRPr="00AD4A26">
        <w:t xml:space="preserve"> designed to “</w:t>
      </w:r>
      <w:r w:rsidR="005C5C01" w:rsidRPr="00AD4A26">
        <w:rPr>
          <w:rFonts w:eastAsia="Times New Roman"/>
        </w:rPr>
        <w:t>level the playing field for New Jersey franchisees</w:t>
      </w:r>
      <w:r w:rsidR="003C5FF6" w:rsidRPr="00AD4A26">
        <w:rPr>
          <w:rFonts w:eastAsia="Times New Roman"/>
        </w:rPr>
        <w:t>,</w:t>
      </w:r>
      <w:r w:rsidR="005C5C01" w:rsidRPr="00AD4A26">
        <w:rPr>
          <w:rFonts w:eastAsia="Times New Roman"/>
        </w:rPr>
        <w:t xml:space="preserve">” by </w:t>
      </w:r>
      <w:r w:rsidR="005C5C01" w:rsidRPr="00AD4A26">
        <w:t>addressing the</w:t>
      </w:r>
      <w:r w:rsidR="002377EF" w:rsidRPr="00AD4A26">
        <w:t xml:space="preserve"> disparity of bargaining </w:t>
      </w:r>
      <w:r w:rsidR="005C5C01" w:rsidRPr="00AD4A26">
        <w:t xml:space="preserve">power between franchisors and </w:t>
      </w:r>
      <w:r w:rsidR="00C47263">
        <w:lastRenderedPageBreak/>
        <w:t>f</w:t>
      </w:r>
      <w:r w:rsidR="005C5C01" w:rsidRPr="00AD4A26">
        <w:t>ranchisees</w:t>
      </w:r>
      <w:r w:rsidR="002377EF" w:rsidRPr="00AD4A26">
        <w:t>.</w:t>
      </w:r>
      <w:r w:rsidR="005C5C01" w:rsidRPr="00AD4A26">
        <w:rPr>
          <w:rStyle w:val="FootnoteReference"/>
          <w:rFonts w:eastAsia="Times New Roman"/>
        </w:rPr>
        <w:footnoteReference w:id="1"/>
      </w:r>
      <w:r w:rsidR="00101019" w:rsidRPr="00AD4A26">
        <w:rPr>
          <w:rFonts w:eastAsia="Times New Roman"/>
        </w:rPr>
        <w:t xml:space="preserve"> </w:t>
      </w:r>
      <w:r w:rsidRPr="00AD4A26">
        <w:t xml:space="preserve">The </w:t>
      </w:r>
      <w:r w:rsidR="00D237F5" w:rsidRPr="00AD4A26">
        <w:t>NJFPA</w:t>
      </w:r>
      <w:r w:rsidRPr="00AD4A26">
        <w:t xml:space="preserve"> was enacted</w:t>
      </w:r>
      <w:r w:rsidR="009021C2" w:rsidRPr="00AD4A26">
        <w:t xml:space="preserve"> in 1971</w:t>
      </w:r>
      <w:r w:rsidRPr="00AD4A26">
        <w:t xml:space="preserve"> to regulate franchise arrangements by </w:t>
      </w:r>
      <w:r w:rsidR="005C5C01" w:rsidRPr="00AD4A26">
        <w:t>providing franchisees “the shelter of favorable law.”</w:t>
      </w:r>
      <w:r w:rsidR="00101019" w:rsidRPr="00AD4A26">
        <w:rPr>
          <w:rStyle w:val="FootnoteReference"/>
          <w:bCs/>
        </w:rPr>
        <w:t xml:space="preserve"> </w:t>
      </w:r>
      <w:r w:rsidR="00101019" w:rsidRPr="00AD4A26">
        <w:rPr>
          <w:rStyle w:val="FootnoteReference"/>
          <w:bCs/>
        </w:rPr>
        <w:footnoteReference w:id="2"/>
      </w:r>
    </w:p>
    <w:p w14:paraId="377D72FB" w14:textId="77777777" w:rsidR="00EC1A6A" w:rsidRDefault="00EC1A6A" w:rsidP="00496B6C">
      <w:pPr>
        <w:spacing w:before="120" w:after="120" w:line="276" w:lineRule="auto"/>
        <w:ind w:firstLine="720"/>
        <w:jc w:val="both"/>
      </w:pPr>
      <w:r w:rsidRPr="00AD4A26">
        <w:t xml:space="preserve">The </w:t>
      </w:r>
      <w:r w:rsidR="00D237F5" w:rsidRPr="00AD4A26">
        <w:t>NJFPA</w:t>
      </w:r>
      <w:r w:rsidRPr="00AD4A26">
        <w:t xml:space="preserve"> </w:t>
      </w:r>
      <w:r w:rsidR="00896D8B" w:rsidRPr="00AD4A26">
        <w:t>intends</w:t>
      </w:r>
      <w:r w:rsidRPr="00AD4A26">
        <w:t xml:space="preserve"> to “define the relationship and responsibilities of franchisors and franchisees in connection with franchise arrangements and to protect franchisees from a disparity of bargaining power between national and regional franchisors and small franchisees.”</w:t>
      </w:r>
      <w:r w:rsidRPr="00AD4A26">
        <w:rPr>
          <w:rStyle w:val="FootnoteReference"/>
        </w:rPr>
        <w:footnoteReference w:id="3"/>
      </w:r>
      <w:r w:rsidRPr="00AD4A26">
        <w:t xml:space="preserve"> Such “protections are necessary to protect not only retail businesses, but also wholesale distribution franchisees.”</w:t>
      </w:r>
      <w:r w:rsidRPr="00AD4A26">
        <w:rPr>
          <w:rStyle w:val="FootnoteReference"/>
        </w:rPr>
        <w:footnoteReference w:id="4"/>
      </w:r>
      <w:r w:rsidRPr="00AD4A26">
        <w:t xml:space="preserve">  </w:t>
      </w:r>
    </w:p>
    <w:p w14:paraId="03090246" w14:textId="77777777" w:rsidR="00C47263" w:rsidRPr="00AD4A26" w:rsidRDefault="00C47263" w:rsidP="00496B6C">
      <w:pPr>
        <w:spacing w:before="120" w:after="120" w:line="276" w:lineRule="auto"/>
        <w:ind w:firstLine="720"/>
        <w:jc w:val="both"/>
      </w:pPr>
    </w:p>
    <w:p w14:paraId="3370FA7D" w14:textId="77777777" w:rsidR="003D37F7" w:rsidRPr="00AD4A26" w:rsidRDefault="003D37F7" w:rsidP="00496B6C">
      <w:pPr>
        <w:pStyle w:val="NoSpacing"/>
        <w:numPr>
          <w:ilvl w:val="0"/>
          <w:numId w:val="5"/>
        </w:numPr>
        <w:spacing w:before="120" w:after="120" w:line="276" w:lineRule="auto"/>
        <w:ind w:left="270"/>
        <w:jc w:val="center"/>
        <w:rPr>
          <w:b/>
        </w:rPr>
      </w:pPr>
      <w:r w:rsidRPr="00AD4A26">
        <w:rPr>
          <w:b/>
        </w:rPr>
        <w:t>Definition of “Franchise</w:t>
      </w:r>
      <w:r w:rsidR="00C37B52" w:rsidRPr="00AD4A26">
        <w:rPr>
          <w:b/>
        </w:rPr>
        <w:t>”</w:t>
      </w:r>
    </w:p>
    <w:p w14:paraId="73A125B6" w14:textId="77777777" w:rsidR="00F05AE4" w:rsidRPr="00AD4A26" w:rsidRDefault="00E86B36" w:rsidP="00F05AE4">
      <w:pPr>
        <w:spacing w:before="120" w:after="120" w:line="276" w:lineRule="auto"/>
        <w:ind w:firstLine="720"/>
        <w:jc w:val="both"/>
      </w:pPr>
      <w:r w:rsidRPr="00AD4A26">
        <w:t>The statutory definition of “franchise” is found in N.J.S. 56:10-3</w:t>
      </w:r>
      <w:r w:rsidR="00DF18E4" w:rsidRPr="00AD4A26">
        <w:t xml:space="preserve"> subsection </w:t>
      </w:r>
      <w:r w:rsidR="001B12A4" w:rsidRPr="00AD4A26">
        <w:t xml:space="preserve">a. </w:t>
      </w:r>
      <w:r w:rsidRPr="00AD4A26">
        <w:t xml:space="preserve">and </w:t>
      </w:r>
      <w:r w:rsidR="003D37F7" w:rsidRPr="00AD4A26">
        <w:t>has remained unchanged since the</w:t>
      </w:r>
      <w:r w:rsidR="00D0786F" w:rsidRPr="00AD4A26">
        <w:t xml:space="preserve"> </w:t>
      </w:r>
      <w:r w:rsidR="00D237F5" w:rsidRPr="00AD4A26">
        <w:t>NJFPA</w:t>
      </w:r>
      <w:r w:rsidR="001B12A4" w:rsidRPr="00AD4A26">
        <w:t xml:space="preserve"> was first enacted in 1971.</w:t>
      </w:r>
      <w:r w:rsidR="003D37F7" w:rsidRPr="00AD4A26">
        <w:rPr>
          <w:rStyle w:val="FootnoteReference"/>
        </w:rPr>
        <w:footnoteReference w:id="5"/>
      </w:r>
    </w:p>
    <w:p w14:paraId="08309E39" w14:textId="77777777" w:rsidR="00E86B36" w:rsidRPr="00AD4A26" w:rsidRDefault="00E86B36" w:rsidP="00F05AE4">
      <w:pPr>
        <w:spacing w:before="120" w:after="120" w:line="276" w:lineRule="auto"/>
        <w:ind w:left="720" w:right="720"/>
        <w:jc w:val="both"/>
      </w:pPr>
      <w:r w:rsidRPr="00AD4A26">
        <w:rPr>
          <w:color w:val="212121"/>
        </w:rPr>
        <w:t>“Franchise” means a written arrangement for a definite or indefinite period, in which a person grants to another person a license to use a trade name, trade mark, service mark, or related characteristics, and in which there is a community of interest in the marketing of goods or services at wholesale, retail, by lease, agreement, or otherwise.</w:t>
      </w:r>
      <w:r w:rsidR="00AD4A26">
        <w:rPr>
          <w:rStyle w:val="FootnoteReference"/>
          <w:color w:val="212121"/>
        </w:rPr>
        <w:footnoteReference w:id="6"/>
      </w:r>
      <w:r w:rsidR="003D37F7" w:rsidRPr="00AD4A26">
        <w:t xml:space="preserve"> </w:t>
      </w:r>
    </w:p>
    <w:p w14:paraId="4C32A1C9" w14:textId="77777777" w:rsidR="003D37F7" w:rsidRPr="00AD4A26" w:rsidRDefault="003D37F7" w:rsidP="00F05AE4">
      <w:pPr>
        <w:spacing w:before="120" w:after="120" w:line="276" w:lineRule="auto"/>
        <w:ind w:firstLine="720"/>
        <w:jc w:val="both"/>
      </w:pPr>
      <w:r w:rsidRPr="00AD4A26">
        <w:t xml:space="preserve">In 2010, however, the Legislature amended the definition of “place of business” to afford wholesale distribution businesses </w:t>
      </w:r>
      <w:r w:rsidR="00D237F5" w:rsidRPr="00AD4A26">
        <w:t>NJFPA</w:t>
      </w:r>
      <w:r w:rsidRPr="00AD4A26">
        <w:t xml:space="preserve"> protections.</w:t>
      </w:r>
      <w:r w:rsidRPr="00AD4A26">
        <w:rPr>
          <w:rStyle w:val="FootnoteReference"/>
        </w:rPr>
        <w:footnoteReference w:id="7"/>
      </w:r>
      <w:r w:rsidRPr="00AD4A26">
        <w:t xml:space="preserve"> An Assembly Statement succinctly explained that prior to the amendment, any wholesaler or distributor:</w:t>
      </w:r>
    </w:p>
    <w:p w14:paraId="4D7574E2" w14:textId="77777777" w:rsidR="003D37F7" w:rsidRPr="00AD4A26" w:rsidRDefault="003D37F7" w:rsidP="00496B6C">
      <w:pPr>
        <w:pStyle w:val="NoSpacing"/>
        <w:spacing w:before="120" w:after="120" w:line="276" w:lineRule="auto"/>
        <w:ind w:left="720" w:right="720"/>
        <w:jc w:val="both"/>
      </w:pPr>
      <w:r w:rsidRPr="00AD4A26">
        <w:t>that requires its customers to come to its place of business to buy goods may be treated as a franchisee, while one that provides the service of going to its customers to deliver products and make sales may not be considered a franchisee under the act. Under the bill, both businesses may be treated as franchisees.</w:t>
      </w:r>
      <w:r w:rsidRPr="00AD4A26">
        <w:rPr>
          <w:rStyle w:val="FootnoteReference"/>
        </w:rPr>
        <w:footnoteReference w:id="8"/>
      </w:r>
    </w:p>
    <w:p w14:paraId="00A22209" w14:textId="77777777" w:rsidR="003D37F7" w:rsidRPr="00AD4A26" w:rsidRDefault="003D37F7" w:rsidP="00F05AE4">
      <w:pPr>
        <w:pStyle w:val="NoSpacing"/>
        <w:spacing w:before="120" w:after="120" w:line="276" w:lineRule="auto"/>
        <w:ind w:firstLine="720"/>
        <w:jc w:val="both"/>
      </w:pPr>
      <w:r w:rsidRPr="00AD4A26">
        <w:t>While this change did not directly impact the language of the definition of “franchise” per se, it affected the applicability of that definition. The Sponsor Statement of the bill featured a review of the definition of “franchise” as necessary to understanding the amendment explained:</w:t>
      </w:r>
    </w:p>
    <w:p w14:paraId="12FA1B84" w14:textId="0B2F970C" w:rsidR="003D37F7" w:rsidRDefault="003D37F7" w:rsidP="00C47263">
      <w:pPr>
        <w:pStyle w:val="NoSpacing"/>
        <w:spacing w:before="120" w:after="120" w:line="276" w:lineRule="auto"/>
        <w:ind w:left="720" w:right="720"/>
        <w:jc w:val="both"/>
      </w:pPr>
      <w:r w:rsidRPr="00AD4A26">
        <w:t>A contract between two parties constitutes a franchise agreement if five conditions are met: 1) the franchisor must grant the franchisee license to use a trade name, trade mark, service mark, or related characteristic; 2) there must be a community of interest in the marketing of goods and services; 3) the franchisee must establish or maintain a place of business in the State; 4) the gross sales of products or services between the franchisor and franchisee must be more than $35,000 in the prior year; and 5) more than 20 percent of the franchisees sales are intended to be or derived from the franchise.</w:t>
      </w:r>
      <w:r w:rsidRPr="00AD4A26">
        <w:rPr>
          <w:rStyle w:val="FootnoteReference"/>
        </w:rPr>
        <w:footnoteReference w:id="9"/>
      </w:r>
    </w:p>
    <w:p w14:paraId="65D04C39" w14:textId="77777777" w:rsidR="00C47263" w:rsidRPr="00AD4A26" w:rsidRDefault="00C47263" w:rsidP="00C47263">
      <w:pPr>
        <w:pStyle w:val="NoSpacing"/>
        <w:spacing w:before="120" w:after="120" w:line="276" w:lineRule="auto"/>
        <w:ind w:left="720" w:right="720"/>
        <w:jc w:val="both"/>
      </w:pPr>
    </w:p>
    <w:p w14:paraId="1FFE475C" w14:textId="77777777" w:rsidR="00857712" w:rsidRPr="00AD4A26" w:rsidRDefault="00857712" w:rsidP="00496B6C">
      <w:pPr>
        <w:pStyle w:val="NoSpacing"/>
        <w:numPr>
          <w:ilvl w:val="0"/>
          <w:numId w:val="5"/>
        </w:numPr>
        <w:spacing w:before="120" w:after="120" w:line="276" w:lineRule="auto"/>
        <w:jc w:val="center"/>
        <w:rPr>
          <w:b/>
        </w:rPr>
      </w:pPr>
      <w:r w:rsidRPr="00AD4A26">
        <w:rPr>
          <w:b/>
        </w:rPr>
        <w:t>Gross Sales Threshold</w:t>
      </w:r>
    </w:p>
    <w:p w14:paraId="363B3DBA" w14:textId="368D4D03" w:rsidR="00154159" w:rsidRPr="00AD4A26" w:rsidRDefault="00F27B95" w:rsidP="00496B6C">
      <w:pPr>
        <w:pStyle w:val="NoSpacing"/>
        <w:spacing w:before="120" w:after="120" w:line="276" w:lineRule="auto"/>
        <w:ind w:firstLine="720"/>
        <w:jc w:val="both"/>
      </w:pPr>
      <w:r w:rsidRPr="00AD4A26">
        <w:t>N.J.S. 56:10-4</w:t>
      </w:r>
      <w:r w:rsidR="00D47BCE" w:rsidRPr="00AD4A26">
        <w:t xml:space="preserve"> describes</w:t>
      </w:r>
      <w:r w:rsidR="003D37F7" w:rsidRPr="00AD4A26">
        <w:t xml:space="preserve"> which franchises are</w:t>
      </w:r>
      <w:r w:rsidR="00C47263">
        <w:t xml:space="preserve"> </w:t>
      </w:r>
      <w:r w:rsidR="003D37F7" w:rsidRPr="00AD4A26">
        <w:t xml:space="preserve">covered under the </w:t>
      </w:r>
      <w:r w:rsidR="000E592F" w:rsidRPr="00AD4A26">
        <w:t>Act</w:t>
      </w:r>
      <w:r w:rsidR="003D37F7" w:rsidRPr="00AD4A26">
        <w:t xml:space="preserve">. The decision of the </w:t>
      </w:r>
      <w:r w:rsidR="003A139E" w:rsidRPr="00AD4A26">
        <w:t>New Je</w:t>
      </w:r>
      <w:r w:rsidR="00C31007" w:rsidRPr="00AD4A26">
        <w:t>r</w:t>
      </w:r>
      <w:r w:rsidR="003A139E" w:rsidRPr="00AD4A26">
        <w:t xml:space="preserve">sey </w:t>
      </w:r>
      <w:r w:rsidR="003D37F7" w:rsidRPr="00AD4A26">
        <w:t xml:space="preserve">Supreme Court, in </w:t>
      </w:r>
      <w:r w:rsidR="003D37F7" w:rsidRPr="00AD4A26">
        <w:rPr>
          <w:i/>
        </w:rPr>
        <w:t>Tynan v. General Motors Corp.</w:t>
      </w:r>
      <w:r w:rsidR="00D47BCE" w:rsidRPr="00AD4A26">
        <w:t>,</w:t>
      </w:r>
      <w:r w:rsidR="003D37F7" w:rsidRPr="00AD4A26">
        <w:t xml:space="preserve"> guides the interpretation of this provision.</w:t>
      </w:r>
      <w:r w:rsidR="003D37F7" w:rsidRPr="00AD4A26">
        <w:rPr>
          <w:rStyle w:val="FootnoteReference"/>
        </w:rPr>
        <w:footnoteReference w:id="10"/>
      </w:r>
      <w:r w:rsidR="003D37F7" w:rsidRPr="00AD4A26">
        <w:t xml:space="preserve"> In </w:t>
      </w:r>
      <w:r w:rsidR="003D37F7" w:rsidRPr="00AD4A26">
        <w:rPr>
          <w:i/>
        </w:rPr>
        <w:t>Tynan</w:t>
      </w:r>
      <w:r w:rsidR="003D37F7" w:rsidRPr="00AD4A26">
        <w:t>, the Supreme Court reversed in part the</w:t>
      </w:r>
      <w:r w:rsidR="00D47BCE" w:rsidRPr="00AD4A26">
        <w:t xml:space="preserve"> Appellate Division</w:t>
      </w:r>
      <w:r w:rsidR="003D37F7" w:rsidRPr="00AD4A26">
        <w:t xml:space="preserve"> ruling and affirmed the reasoning of the</w:t>
      </w:r>
      <w:r w:rsidR="006D2E8F" w:rsidRPr="00AD4A26">
        <w:t xml:space="preserve"> partial dissent of Judge Cohen</w:t>
      </w:r>
      <w:r w:rsidR="00896D8B" w:rsidRPr="00AD4A26">
        <w:t>.</w:t>
      </w:r>
      <w:r w:rsidR="006D2E8F" w:rsidRPr="00AD4A26">
        <w:t xml:space="preserve"> </w:t>
      </w:r>
    </w:p>
    <w:p w14:paraId="19BBC770" w14:textId="77777777" w:rsidR="00896D8B" w:rsidRPr="00AD4A26" w:rsidRDefault="004D167F" w:rsidP="00496B6C">
      <w:pPr>
        <w:pStyle w:val="NoSpacing"/>
        <w:spacing w:before="120" w:after="120" w:line="276" w:lineRule="auto"/>
        <w:ind w:firstLine="720"/>
        <w:jc w:val="both"/>
      </w:pPr>
      <w:r w:rsidRPr="00AD4A26">
        <w:t>T</w:t>
      </w:r>
      <w:r w:rsidR="00896D8B" w:rsidRPr="00AD4A26">
        <w:t>he plaintiff</w:t>
      </w:r>
      <w:r w:rsidRPr="00AD4A26">
        <w:t xml:space="preserve"> filed a claim in April 1987</w:t>
      </w:r>
      <w:r w:rsidR="00F27B95" w:rsidRPr="00AD4A26">
        <w:t xml:space="preserve"> </w:t>
      </w:r>
      <w:r w:rsidRPr="00AD4A26">
        <w:t>against General Motors</w:t>
      </w:r>
      <w:r w:rsidR="00154159" w:rsidRPr="00AD4A26">
        <w:t>, following the sale of his General Motors franchised dealership in July 1985,</w:t>
      </w:r>
      <w:r w:rsidRPr="00AD4A26">
        <w:t xml:space="preserve"> for various violations of the NJFPA</w:t>
      </w:r>
      <w:r w:rsidR="003C5FF6" w:rsidRPr="00AD4A26">
        <w:t xml:space="preserve">, including </w:t>
      </w:r>
      <w:r w:rsidR="00DF18E4" w:rsidRPr="00AD4A26">
        <w:t>N.J.S.</w:t>
      </w:r>
      <w:r w:rsidR="003C5FF6" w:rsidRPr="00AD4A26">
        <w:t xml:space="preserve"> </w:t>
      </w:r>
      <w:r w:rsidR="00DF18E4" w:rsidRPr="00AD4A26">
        <w:t xml:space="preserve">56:10-4 subsection </w:t>
      </w:r>
      <w:r w:rsidR="003C5FF6" w:rsidRPr="00AD4A26">
        <w:t>a</w:t>
      </w:r>
      <w:proofErr w:type="gramStart"/>
      <w:r w:rsidR="005A30AD" w:rsidRPr="00AD4A26">
        <w:t>.</w:t>
      </w:r>
      <w:r w:rsidR="0090142C" w:rsidRPr="00AD4A26">
        <w:t>(</w:t>
      </w:r>
      <w:proofErr w:type="gramEnd"/>
      <w:r w:rsidRPr="00AD4A26">
        <w:t>2</w:t>
      </w:r>
      <w:r w:rsidR="0090142C" w:rsidRPr="00AD4A26">
        <w:t>)</w:t>
      </w:r>
      <w:r w:rsidRPr="00AD4A26">
        <w:t>.</w:t>
      </w:r>
      <w:r w:rsidRPr="00AD4A26">
        <w:rPr>
          <w:rStyle w:val="FootnoteReference"/>
        </w:rPr>
        <w:footnoteReference w:id="11"/>
      </w:r>
      <w:r w:rsidRPr="00AD4A26">
        <w:t xml:space="preserve"> The plaintiff previously</w:t>
      </w:r>
      <w:r w:rsidR="00101019" w:rsidRPr="00AD4A26">
        <w:t xml:space="preserve"> </w:t>
      </w:r>
      <w:r w:rsidR="00896D8B" w:rsidRPr="00AD4A26">
        <w:t>owned a General Motors franchised dealership which he sold in July 1985</w:t>
      </w:r>
      <w:r w:rsidRPr="00AD4A26">
        <w:t xml:space="preserve"> prior to the suit.</w:t>
      </w:r>
      <w:r w:rsidR="00101019" w:rsidRPr="00AD4A26">
        <w:rPr>
          <w:rStyle w:val="FootnoteReference"/>
        </w:rPr>
        <w:footnoteReference w:id="12"/>
      </w:r>
      <w:r w:rsidR="00896D8B" w:rsidRPr="00AD4A26">
        <w:t xml:space="preserve"> Under </w:t>
      </w:r>
      <w:r w:rsidR="00F27B95" w:rsidRPr="00AD4A26">
        <w:t>sub</w:t>
      </w:r>
      <w:r w:rsidR="00896D8B" w:rsidRPr="00AD4A26">
        <w:t>s</w:t>
      </w:r>
      <w:r w:rsidR="003D37F7" w:rsidRPr="00AD4A26">
        <w:t xml:space="preserve">ection </w:t>
      </w:r>
      <w:r w:rsidR="00DF18E4" w:rsidRPr="00AD4A26">
        <w:t>a</w:t>
      </w:r>
      <w:proofErr w:type="gramStart"/>
      <w:r w:rsidR="00DF18E4" w:rsidRPr="00AD4A26">
        <w:t>.(</w:t>
      </w:r>
      <w:proofErr w:type="gramEnd"/>
      <w:r w:rsidR="00DF18E4" w:rsidRPr="00AD4A26">
        <w:t>2)</w:t>
      </w:r>
      <w:r w:rsidRPr="00AD4A26">
        <w:t>,</w:t>
      </w:r>
      <w:r w:rsidR="00896D8B" w:rsidRPr="00AD4A26">
        <w:t xml:space="preserve"> </w:t>
      </w:r>
      <w:r w:rsidRPr="00AD4A26">
        <w:t>t</w:t>
      </w:r>
      <w:r w:rsidR="00896D8B" w:rsidRPr="00AD4A26">
        <w:t>h</w:t>
      </w:r>
      <w:r w:rsidR="00F27B95" w:rsidRPr="00AD4A26">
        <w:t xml:space="preserve">e gross sales threshold </w:t>
      </w:r>
      <w:r w:rsidR="00896D8B" w:rsidRPr="00AD4A26">
        <w:t xml:space="preserve">“applies only to a franchise . . . where gross sales of products or services between the franchisor and franchisee covered by such franchise shall have exceeded $35,000.00 for the </w:t>
      </w:r>
      <w:r w:rsidR="00896D8B" w:rsidRPr="00AD4A26">
        <w:rPr>
          <w:i/>
        </w:rPr>
        <w:t>12 months next preceding the institution of suit</w:t>
      </w:r>
      <w:r w:rsidR="00896D8B" w:rsidRPr="00AD4A26">
        <w:t>.”</w:t>
      </w:r>
      <w:r w:rsidR="003D37F7" w:rsidRPr="00AD4A26">
        <w:t xml:space="preserve"> Since </w:t>
      </w:r>
      <w:r w:rsidR="005A30AD" w:rsidRPr="00AD4A26">
        <w:t xml:space="preserve">the plaintiff </w:t>
      </w:r>
      <w:r w:rsidRPr="00AD4A26">
        <w:t xml:space="preserve">did </w:t>
      </w:r>
      <w:r w:rsidR="003D37F7" w:rsidRPr="00AD4A26">
        <w:t>not operate his franchise within twelve months before filing suit, his gross sales during that period were zero, and his claim was therefore dismissed as untimely by the Appellate Division.</w:t>
      </w:r>
      <w:r w:rsidR="00896D8B" w:rsidRPr="00AD4A26">
        <w:t xml:space="preserve"> </w:t>
      </w:r>
    </w:p>
    <w:p w14:paraId="53DED65F" w14:textId="77777777" w:rsidR="003D37F7" w:rsidRPr="00AD4A26" w:rsidRDefault="006D2E8F" w:rsidP="00F05AE4">
      <w:pPr>
        <w:pStyle w:val="NoSpacing"/>
        <w:spacing w:before="120" w:after="120" w:line="276" w:lineRule="auto"/>
        <w:ind w:firstLine="720"/>
        <w:jc w:val="both"/>
      </w:pPr>
      <w:r w:rsidRPr="00AD4A26">
        <w:t xml:space="preserve">The </w:t>
      </w:r>
      <w:r w:rsidR="00896D8B" w:rsidRPr="00AD4A26">
        <w:t xml:space="preserve">New Jersey </w:t>
      </w:r>
      <w:r w:rsidRPr="00AD4A26">
        <w:t>Supreme Court</w:t>
      </w:r>
      <w:r w:rsidR="00896D8B" w:rsidRPr="00AD4A26">
        <w:t xml:space="preserve">, later reversed in part the Appellate Division ruling, the decision </w:t>
      </w:r>
      <w:r w:rsidRPr="00AD4A26">
        <w:t>reflected the conclusion of</w:t>
      </w:r>
      <w:r w:rsidR="003D37F7" w:rsidRPr="00AD4A26">
        <w:t xml:space="preserve"> Judge Cohen who found it “apparent from the structure of the Act and the words of N.J.S.</w:t>
      </w:r>
      <w:r w:rsidR="00F27B95" w:rsidRPr="00AD4A26">
        <w:t xml:space="preserve"> </w:t>
      </w:r>
      <w:r w:rsidR="003D37F7" w:rsidRPr="00AD4A26">
        <w:t>56:10-4 that the purpose was to restrict the application of the Act to franchises that were sufficiently local to merit regulation and sufficiently consequential to the franchisee to merit protection.”</w:t>
      </w:r>
      <w:r w:rsidR="00D47BCE" w:rsidRPr="00AD4A26">
        <w:rPr>
          <w:rStyle w:val="FootnoteReference"/>
        </w:rPr>
        <w:footnoteReference w:id="13"/>
      </w:r>
      <w:r w:rsidR="003D37F7" w:rsidRPr="00AD4A26">
        <w:t xml:space="preserve"> In his view, $35,000 in annual sales “is not a very stringent standard. But no franchise that went out of business a year or so before starting suit could satisf</w:t>
      </w:r>
      <w:r w:rsidR="004D167F" w:rsidRPr="00AD4A26">
        <w:t>y it if applied literally,</w:t>
      </w:r>
      <w:r w:rsidR="003D37F7" w:rsidRPr="00AD4A26">
        <w:t xml:space="preserve">” </w:t>
      </w:r>
      <w:r w:rsidR="00F27B95" w:rsidRPr="00AD4A26">
        <w:t>finding that a “plain meaning” interpretation would be</w:t>
      </w:r>
      <w:r w:rsidR="003D37F7" w:rsidRPr="00AD4A26">
        <w:t xml:space="preserve"> inconsistent with the goals of the </w:t>
      </w:r>
      <w:r w:rsidR="00D237F5" w:rsidRPr="00AD4A26">
        <w:t>NJFPA</w:t>
      </w:r>
      <w:r w:rsidR="003D37F7" w:rsidRPr="00AD4A26">
        <w:t>. Judge Cohen provided the following illustration of the problem:</w:t>
      </w:r>
    </w:p>
    <w:p w14:paraId="26D2EDAE" w14:textId="77777777" w:rsidR="003D37F7" w:rsidRPr="00AD4A26" w:rsidRDefault="003D37F7" w:rsidP="00F05AE4">
      <w:pPr>
        <w:pStyle w:val="NoSpacing"/>
        <w:spacing w:before="120" w:after="120" w:line="276" w:lineRule="auto"/>
        <w:ind w:left="720" w:right="720"/>
        <w:jc w:val="both"/>
      </w:pPr>
      <w:r w:rsidRPr="00AD4A26">
        <w:t>A franchisee doing $35,001 in annual business has six years to sue its franchisor for a minor but illegal action which the franchisee can comfortably survive. N.J.S.A. 2A:14-1. But, if the majority is correct, a franchisee whose illegal treatment by the franchisor is so horrendously effective that it destroys the business altogether has only 12 months to sue.</w:t>
      </w:r>
      <w:r w:rsidR="00D47BCE" w:rsidRPr="00AD4A26">
        <w:rPr>
          <w:rStyle w:val="FootnoteReference"/>
        </w:rPr>
        <w:footnoteReference w:id="14"/>
      </w:r>
    </w:p>
    <w:p w14:paraId="04F4E6A9" w14:textId="77777777" w:rsidR="004D167F" w:rsidRPr="00AD4A26" w:rsidRDefault="003D37F7" w:rsidP="00496B6C">
      <w:pPr>
        <w:pStyle w:val="NoSpacing"/>
        <w:spacing w:before="120" w:after="120" w:line="276" w:lineRule="auto"/>
        <w:jc w:val="both"/>
      </w:pPr>
      <w:r w:rsidRPr="00AD4A26">
        <w:tab/>
        <w:t>Judge Cohen noted that the words of the statute were “plain enough” and that there was “no legislative history to help,” but asserted that “the results of literal application are so unfair, and so capricious that the Legislature could not possibly have intended them.”</w:t>
      </w:r>
      <w:r w:rsidR="00D47BCE" w:rsidRPr="00AD4A26">
        <w:rPr>
          <w:rStyle w:val="FootnoteReference"/>
        </w:rPr>
        <w:footnoteReference w:id="15"/>
      </w:r>
      <w:r w:rsidR="006D2E8F" w:rsidRPr="00AD4A26">
        <w:t xml:space="preserve"> </w:t>
      </w:r>
    </w:p>
    <w:p w14:paraId="42418895" w14:textId="77777777" w:rsidR="003D37F7" w:rsidRPr="00AD4A26" w:rsidRDefault="004D167F" w:rsidP="00496B6C">
      <w:pPr>
        <w:pStyle w:val="NoSpacing"/>
        <w:spacing w:before="120" w:after="120" w:line="276" w:lineRule="auto"/>
        <w:ind w:firstLine="720"/>
        <w:jc w:val="both"/>
        <w:rPr>
          <w:b/>
        </w:rPr>
      </w:pPr>
      <w:r w:rsidRPr="00AD4A26">
        <w:t>Considering the $35,000 threshold as indicative of a legislative intent “not to limit the time for suit but to measure the size of the businesses protected by the Act,” Judge Cohen p</w:t>
      </w:r>
      <w:r w:rsidR="00F05AE4" w:rsidRPr="00AD4A26">
        <w:t>roposed that the current twelve-month</w:t>
      </w:r>
      <w:r w:rsidRPr="00AD4A26">
        <w:t xml:space="preserve"> period should be “limited to ongoing franchises that are in business when suit is started. Businesses that have terminated before suit starts must have their gross sales calculated for the last 12 months they existed.”</w:t>
      </w:r>
      <w:r w:rsidRPr="00AD4A26">
        <w:rPr>
          <w:rStyle w:val="FootnoteReference"/>
        </w:rPr>
        <w:footnoteReference w:id="16"/>
      </w:r>
      <w:r w:rsidRPr="00AD4A26">
        <w:t xml:space="preserve"> </w:t>
      </w:r>
      <w:r w:rsidR="005A30AD" w:rsidRPr="00AD4A26">
        <w:t xml:space="preserve">This Report seeks to clarify </w:t>
      </w:r>
      <w:r w:rsidR="00F27B95" w:rsidRPr="00AD4A26">
        <w:t>N.J.S. 56:10-4</w:t>
      </w:r>
      <w:r w:rsidR="00F20D55" w:rsidRPr="00AD4A26">
        <w:t xml:space="preserve"> </w:t>
      </w:r>
      <w:r w:rsidR="00C177FD" w:rsidRPr="00AD4A26">
        <w:t xml:space="preserve">subsection </w:t>
      </w:r>
      <w:r w:rsidR="00F27B95" w:rsidRPr="00AD4A26">
        <w:t>a</w:t>
      </w:r>
      <w:proofErr w:type="gramStart"/>
      <w:r w:rsidR="00C177FD" w:rsidRPr="00AD4A26">
        <w:t>.</w:t>
      </w:r>
      <w:r w:rsidR="00F20D55" w:rsidRPr="00AD4A26">
        <w:t>(</w:t>
      </w:r>
      <w:proofErr w:type="gramEnd"/>
      <w:r w:rsidR="00F20D55" w:rsidRPr="00AD4A26">
        <w:t>2)</w:t>
      </w:r>
      <w:r w:rsidR="00896D8B" w:rsidRPr="00AD4A26">
        <w:t xml:space="preserve"> in accord with the </w:t>
      </w:r>
      <w:r w:rsidR="00F27B95" w:rsidRPr="00AD4A26">
        <w:t xml:space="preserve">Supreme Court decision in </w:t>
      </w:r>
      <w:r w:rsidR="006D2E8F" w:rsidRPr="00AD4A26">
        <w:rPr>
          <w:i/>
        </w:rPr>
        <w:t>Tynan</w:t>
      </w:r>
      <w:r w:rsidR="00F27B95" w:rsidRPr="00AD4A26">
        <w:t>, which reflects the reasoning of Judge Cohen’s dissent</w:t>
      </w:r>
      <w:r w:rsidR="006D2E8F" w:rsidRPr="00AD4A26">
        <w:t>.</w:t>
      </w:r>
      <w:r w:rsidR="006D2E8F" w:rsidRPr="00AD4A26">
        <w:rPr>
          <w:rStyle w:val="FootnoteReference"/>
        </w:rPr>
        <w:footnoteReference w:id="17"/>
      </w:r>
    </w:p>
    <w:p w14:paraId="672195E4" w14:textId="77777777" w:rsidR="00EC1A6A" w:rsidRPr="00AD4A26" w:rsidRDefault="00EC1A6A" w:rsidP="00496B6C">
      <w:pPr>
        <w:spacing w:before="120" w:after="120" w:line="276" w:lineRule="auto"/>
        <w:jc w:val="both"/>
        <w:rPr>
          <w:rFonts w:eastAsia="Times New Roman"/>
          <w:b/>
        </w:rPr>
      </w:pPr>
    </w:p>
    <w:p w14:paraId="68ACFAB3" w14:textId="4D4803CA" w:rsidR="003F10AA" w:rsidRPr="00C47263" w:rsidRDefault="00F14D93" w:rsidP="00F32FDB">
      <w:pPr>
        <w:pStyle w:val="ListParagraph"/>
        <w:numPr>
          <w:ilvl w:val="0"/>
          <w:numId w:val="1"/>
        </w:numPr>
        <w:spacing w:before="120" w:after="120"/>
        <w:jc w:val="center"/>
        <w:rPr>
          <w:b/>
          <w:smallCaps/>
        </w:rPr>
      </w:pPr>
      <w:r w:rsidRPr="00C47263">
        <w:rPr>
          <w:b/>
          <w:smallCaps/>
        </w:rPr>
        <w:t>Forum-</w:t>
      </w:r>
      <w:r w:rsidR="009021C2" w:rsidRPr="00C47263">
        <w:rPr>
          <w:b/>
          <w:smallCaps/>
        </w:rPr>
        <w:t xml:space="preserve">selection and </w:t>
      </w:r>
      <w:r w:rsidR="00EC1A6A" w:rsidRPr="00C47263">
        <w:rPr>
          <w:b/>
          <w:smallCaps/>
        </w:rPr>
        <w:t xml:space="preserve"> Arbitration Clauses</w:t>
      </w:r>
    </w:p>
    <w:p w14:paraId="4F1A993E" w14:textId="77777777" w:rsidR="008D770E" w:rsidRPr="00AD4A26" w:rsidRDefault="008D770E" w:rsidP="00496B6C">
      <w:pPr>
        <w:spacing w:before="120" w:after="120" w:line="276" w:lineRule="auto"/>
        <w:ind w:firstLine="720"/>
        <w:jc w:val="both"/>
      </w:pPr>
      <w:r w:rsidRPr="00AD4A26">
        <w:t>The NJFPA promotes a level playing field for franchisees and discourage</w:t>
      </w:r>
      <w:r w:rsidR="00F14D93" w:rsidRPr="00AD4A26">
        <w:t>s</w:t>
      </w:r>
      <w:r w:rsidRPr="00AD4A26">
        <w:t xml:space="preserve"> franchisors from exploiting their superior economic resources</w:t>
      </w:r>
      <w:r w:rsidR="00B66D7A">
        <w:t>. I</w:t>
      </w:r>
      <w:r w:rsidR="004D167F" w:rsidRPr="00AD4A26">
        <w:t>n accord,</w:t>
      </w:r>
      <w:r w:rsidR="007D6B6E" w:rsidRPr="00AD4A26">
        <w:t xml:space="preserve"> the legislative intent of the Act</w:t>
      </w:r>
      <w:r w:rsidRPr="00AD4A26">
        <w:t xml:space="preserve"> extends to the resolution of conflict where the right to a jury trial is encouraged for the benefit of the franchisee, and arbitration is disfavored.</w:t>
      </w:r>
    </w:p>
    <w:p w14:paraId="41EBBBFB" w14:textId="77777777" w:rsidR="007073B8" w:rsidRDefault="008D770E" w:rsidP="007073B8">
      <w:pPr>
        <w:spacing w:before="120" w:after="120" w:line="276" w:lineRule="auto"/>
        <w:ind w:firstLine="720"/>
        <w:jc w:val="both"/>
        <w:rPr>
          <w:rFonts w:eastAsia="Times New Roman"/>
          <w:color w:val="212121"/>
        </w:rPr>
      </w:pPr>
      <w:r w:rsidRPr="00AD4A26">
        <w:t xml:space="preserve">  </w:t>
      </w:r>
      <w:r w:rsidR="00D237F5" w:rsidRPr="00AD4A26">
        <w:t>The Federal Arbitration Act (FAA)</w:t>
      </w:r>
      <w:r w:rsidRPr="00AD4A26">
        <w:t>, however,</w:t>
      </w:r>
      <w:r w:rsidR="00D237F5" w:rsidRPr="00AD4A26">
        <w:t xml:space="preserve"> pre-empts any state statute that “discriminates on its face against arbitration” or “covertly accomplishes the same objective by disfavoring contracts </w:t>
      </w:r>
      <w:proofErr w:type="gramStart"/>
      <w:r w:rsidR="00D237F5" w:rsidRPr="00AD4A26">
        <w:t>that</w:t>
      </w:r>
      <w:r w:rsidR="00B66D7A">
        <w:t>.</w:t>
      </w:r>
      <w:proofErr w:type="gramEnd"/>
      <w:r w:rsidR="00B66D7A">
        <w:t xml:space="preserve"> . . </w:t>
      </w:r>
      <w:r w:rsidR="00D237F5" w:rsidRPr="00AD4A26">
        <w:t>have defining features of arbitration agreements.</w:t>
      </w:r>
      <w:r w:rsidR="0025339A" w:rsidRPr="00AD4A26">
        <w:t>”</w:t>
      </w:r>
      <w:r w:rsidR="00D237F5" w:rsidRPr="00AD4A26">
        <w:rPr>
          <w:rStyle w:val="FootnoteReference"/>
        </w:rPr>
        <w:footnoteReference w:id="18"/>
      </w:r>
      <w:r w:rsidR="007073B8">
        <w:t xml:space="preserve"> </w:t>
      </w:r>
      <w:r w:rsidR="00EF3D68" w:rsidRPr="00AD4A26">
        <w:rPr>
          <w:rFonts w:eastAsia="Times New Roman"/>
          <w:color w:val="212121"/>
        </w:rPr>
        <w:t>“Under the Supremacy Clause, federal law may be held to preempt state law where any of the three forms of preemption may be properly applied: express preemption, field preemption, and implied conflict preemption.”</w:t>
      </w:r>
      <w:r w:rsidR="00EF3D68" w:rsidRPr="00AD4A26">
        <w:rPr>
          <w:rStyle w:val="FootnoteReference"/>
          <w:rFonts w:eastAsia="Times New Roman"/>
          <w:color w:val="212121"/>
        </w:rPr>
        <w:footnoteReference w:id="19"/>
      </w:r>
      <w:r w:rsidR="00EF3D68" w:rsidRPr="00AD4A26">
        <w:rPr>
          <w:rFonts w:eastAsia="Times New Roman"/>
          <w:color w:val="212121"/>
        </w:rPr>
        <w:t xml:space="preserve"> </w:t>
      </w:r>
    </w:p>
    <w:p w14:paraId="1FBFA8B2" w14:textId="0B977456" w:rsidR="003E01EA" w:rsidRPr="007073B8" w:rsidRDefault="00D237F5" w:rsidP="007073B8">
      <w:pPr>
        <w:spacing w:before="120" w:after="120" w:line="276" w:lineRule="auto"/>
        <w:ind w:firstLine="720"/>
        <w:jc w:val="both"/>
      </w:pPr>
      <w:r w:rsidRPr="00AD4A26">
        <w:t>The United States Supreme Court, in</w:t>
      </w:r>
      <w:r w:rsidR="0025339A" w:rsidRPr="00AD4A26">
        <w:t xml:space="preserve"> a</w:t>
      </w:r>
      <w:r w:rsidR="00B66D7A">
        <w:t xml:space="preserve"> series of decisions, </w:t>
      </w:r>
      <w:r w:rsidRPr="00AD4A26">
        <w:t>prohibited efforts by states to regulate arbitration clauses,</w:t>
      </w:r>
      <w:r w:rsidRPr="00AD4A26">
        <w:rPr>
          <w:rStyle w:val="FootnoteReference"/>
        </w:rPr>
        <w:footnoteReference w:id="20"/>
      </w:r>
      <w:r w:rsidR="0025339A" w:rsidRPr="00AD4A26">
        <w:t xml:space="preserve"> </w:t>
      </w:r>
      <w:r w:rsidRPr="00AD4A26">
        <w:t>finding “that a state statute that required judicial resolution of a franchise contract, despite an arbitration clause, was inconsistent with the FAA, and therefore violated the Supremacy Clause.”</w:t>
      </w:r>
      <w:r w:rsidRPr="00AD4A26">
        <w:rPr>
          <w:rStyle w:val="FootnoteReference"/>
        </w:rPr>
        <w:footnoteReference w:id="21"/>
      </w:r>
      <w:r w:rsidR="00536B5A">
        <w:t xml:space="preserve"> </w:t>
      </w:r>
    </w:p>
    <w:p w14:paraId="15E955D4" w14:textId="77777777" w:rsidR="00496B6C" w:rsidRPr="00AD4A26" w:rsidRDefault="00C368BC" w:rsidP="00B66D7A">
      <w:pPr>
        <w:spacing w:before="120" w:after="120" w:line="276" w:lineRule="auto"/>
        <w:ind w:firstLine="720"/>
        <w:jc w:val="both"/>
      </w:pPr>
      <w:r w:rsidRPr="00AD4A26">
        <w:rPr>
          <w:rFonts w:eastAsia="Times New Roman"/>
          <w:color w:val="212121"/>
        </w:rPr>
        <w:t xml:space="preserve">The U.S. Supreme Court, in </w:t>
      </w:r>
      <w:r w:rsidRPr="00AD4A26">
        <w:rPr>
          <w:rFonts w:eastAsia="Times New Roman"/>
          <w:i/>
          <w:color w:val="212121"/>
        </w:rPr>
        <w:t xml:space="preserve">Kindred Nursing v. </w:t>
      </w:r>
      <w:r w:rsidRPr="00AD4A26">
        <w:rPr>
          <w:rFonts w:eastAsia="Times New Roman"/>
          <w:color w:val="212121"/>
        </w:rPr>
        <w:t>Clark</w:t>
      </w:r>
      <w:r w:rsidR="00E935F2" w:rsidRPr="00AD4A26">
        <w:rPr>
          <w:rFonts w:eastAsia="Times New Roman"/>
          <w:color w:val="212121"/>
        </w:rPr>
        <w:t xml:space="preserve">, held that the FAA establishes a “an equal-treatment principle” – allowing a court </w:t>
      </w:r>
      <w:r w:rsidR="006F6873" w:rsidRPr="00AD4A26">
        <w:rPr>
          <w:rFonts w:eastAsia="Times New Roman"/>
          <w:color w:val="212121"/>
        </w:rPr>
        <w:t>“</w:t>
      </w:r>
      <w:r w:rsidR="00E935F2" w:rsidRPr="00AD4A26">
        <w:rPr>
          <w:rFonts w:eastAsia="Times New Roman"/>
          <w:color w:val="212121"/>
        </w:rPr>
        <w:t>to invalidate an arbitration agreement based on ‘</w:t>
      </w:r>
      <w:r w:rsidRPr="00AD4A26">
        <w:rPr>
          <w:rFonts w:eastAsia="Times New Roman"/>
          <w:color w:val="212121"/>
        </w:rPr>
        <w:t>generall</w:t>
      </w:r>
      <w:r w:rsidR="00E935F2" w:rsidRPr="00AD4A26">
        <w:rPr>
          <w:rFonts w:eastAsia="Times New Roman"/>
          <w:color w:val="212121"/>
        </w:rPr>
        <w:t xml:space="preserve">y applicable contract defenses’ </w:t>
      </w:r>
      <w:r w:rsidRPr="00AD4A26">
        <w:rPr>
          <w:rFonts w:eastAsia="Times New Roman"/>
          <w:color w:val="212121"/>
        </w:rPr>
        <w:t>like fraud or unconscionability, but not on legal rules that “apply only to arbitration or that derive their meaning from the fact that an agreement to arbitrate is at issue.</w:t>
      </w:r>
      <w:r w:rsidR="00E935F2" w:rsidRPr="00AD4A26">
        <w:rPr>
          <w:rFonts w:eastAsia="Times New Roman"/>
          <w:color w:val="212121"/>
        </w:rPr>
        <w:t xml:space="preserve">’ </w:t>
      </w:r>
      <w:r w:rsidRPr="00AD4A26">
        <w:rPr>
          <w:rFonts w:eastAsia="Times New Roman"/>
          <w:color w:val="212121"/>
        </w:rPr>
        <w:t>”</w:t>
      </w:r>
      <w:r w:rsidR="006F6873" w:rsidRPr="00AD4A26">
        <w:rPr>
          <w:rStyle w:val="FootnoteReference"/>
          <w:rFonts w:eastAsia="Times New Roman"/>
          <w:color w:val="212121"/>
        </w:rPr>
        <w:footnoteReference w:id="22"/>
      </w:r>
      <w:r w:rsidRPr="00AD4A26">
        <w:rPr>
          <w:rStyle w:val="apple-converted-space"/>
          <w:rFonts w:eastAsia="Times New Roman"/>
          <w:color w:val="212121"/>
        </w:rPr>
        <w:t> </w:t>
      </w:r>
    </w:p>
    <w:p w14:paraId="338E6F99" w14:textId="77777777" w:rsidR="00496B6C" w:rsidRPr="00AD4A26" w:rsidRDefault="00C368BC" w:rsidP="00F05AE4">
      <w:pPr>
        <w:spacing w:before="120" w:after="120" w:line="276" w:lineRule="auto"/>
        <w:ind w:left="720" w:right="720"/>
        <w:jc w:val="both"/>
        <w:rPr>
          <w:rFonts w:eastAsia="Times New Roman"/>
          <w:color w:val="212121"/>
        </w:rPr>
      </w:pPr>
      <w:r w:rsidRPr="00AD4A26">
        <w:rPr>
          <w:rFonts w:eastAsia="Times New Roman"/>
          <w:color w:val="212121"/>
        </w:rPr>
        <w:t>The</w:t>
      </w:r>
      <w:r w:rsidRPr="00AD4A26">
        <w:rPr>
          <w:rStyle w:val="apple-converted-space"/>
          <w:rFonts w:eastAsia="Times New Roman"/>
          <w:color w:val="212121"/>
        </w:rPr>
        <w:t> </w:t>
      </w:r>
      <w:r w:rsidRPr="00AD4A26">
        <w:rPr>
          <w:rStyle w:val="cosearchwithinterm"/>
          <w:rFonts w:eastAsia="Times New Roman"/>
          <w:bCs/>
          <w:color w:val="212121"/>
        </w:rPr>
        <w:t>FAA</w:t>
      </w:r>
      <w:r w:rsidRPr="00AD4A26">
        <w:rPr>
          <w:rStyle w:val="apple-converted-space"/>
          <w:rFonts w:eastAsia="Times New Roman"/>
          <w:color w:val="212121"/>
        </w:rPr>
        <w:t> </w:t>
      </w:r>
      <w:r w:rsidRPr="00AD4A26">
        <w:rPr>
          <w:rFonts w:eastAsia="Times New Roman"/>
          <w:color w:val="212121"/>
        </w:rPr>
        <w:t>thus preempts any state rule discriminating on its face agai</w:t>
      </w:r>
      <w:r w:rsidR="00496B6C" w:rsidRPr="00AD4A26">
        <w:rPr>
          <w:rFonts w:eastAsia="Times New Roman"/>
          <w:color w:val="212121"/>
        </w:rPr>
        <w:t>nst arbitration—for example, a ‘</w:t>
      </w:r>
      <w:r w:rsidRPr="00AD4A26">
        <w:rPr>
          <w:rFonts w:eastAsia="Times New Roman"/>
          <w:color w:val="212121"/>
        </w:rPr>
        <w:t>law prohibit[</w:t>
      </w:r>
      <w:proofErr w:type="spellStart"/>
      <w:r w:rsidRPr="00AD4A26">
        <w:rPr>
          <w:rFonts w:eastAsia="Times New Roman"/>
          <w:color w:val="212121"/>
        </w:rPr>
        <w:t>ing</w:t>
      </w:r>
      <w:proofErr w:type="spellEnd"/>
      <w:r w:rsidRPr="00AD4A26">
        <w:rPr>
          <w:rFonts w:eastAsia="Times New Roman"/>
          <w:color w:val="212121"/>
        </w:rPr>
        <w:t>] outright the arbitration of a particular type of claim.</w:t>
      </w:r>
      <w:r w:rsidR="00496B6C" w:rsidRPr="00AD4A26">
        <w:rPr>
          <w:rFonts w:eastAsia="Times New Roman"/>
          <w:color w:val="212121"/>
        </w:rPr>
        <w:t>’</w:t>
      </w:r>
      <w:r w:rsidRPr="00AD4A26">
        <w:rPr>
          <w:rFonts w:eastAsia="Times New Roman"/>
          <w:color w:val="212121"/>
        </w:rPr>
        <w:t xml:space="preserve"> And not only that: The Act also displaces any rule that covertly accomplishes the same objective by disfavoring contracts that (oh so coincidentally) have the defining features of arbitration agreements.</w:t>
      </w:r>
      <w:r w:rsidR="00496B6C" w:rsidRPr="00AD4A26">
        <w:rPr>
          <w:rStyle w:val="FootnoteReference"/>
          <w:rFonts w:eastAsia="Times New Roman"/>
          <w:color w:val="212121"/>
        </w:rPr>
        <w:footnoteReference w:id="23"/>
      </w:r>
      <w:r w:rsidRPr="00AD4A26">
        <w:rPr>
          <w:rFonts w:eastAsia="Times New Roman"/>
          <w:color w:val="212121"/>
        </w:rPr>
        <w:t xml:space="preserve"> </w:t>
      </w:r>
    </w:p>
    <w:p w14:paraId="7A5C024A" w14:textId="77777777" w:rsidR="00362D2B" w:rsidRPr="00AD4A26" w:rsidRDefault="006F6873" w:rsidP="00F05AE4">
      <w:pPr>
        <w:spacing w:before="120" w:after="120" w:line="276" w:lineRule="auto"/>
        <w:ind w:firstLine="720"/>
        <w:jc w:val="both"/>
        <w:rPr>
          <w:rFonts w:eastAsia="Times New Roman"/>
          <w:color w:val="212121"/>
        </w:rPr>
      </w:pPr>
      <w:r w:rsidRPr="00AD4A26">
        <w:rPr>
          <w:rFonts w:eastAsia="Times New Roman"/>
          <w:color w:val="212121"/>
        </w:rPr>
        <w:t>T</w:t>
      </w:r>
      <w:r w:rsidR="00E935F2" w:rsidRPr="00AD4A26">
        <w:rPr>
          <w:rFonts w:eastAsia="Times New Roman"/>
          <w:color w:val="212121"/>
        </w:rPr>
        <w:t xml:space="preserve">he </w:t>
      </w:r>
      <w:r w:rsidR="00496B6C" w:rsidRPr="00AD4A26">
        <w:rPr>
          <w:rFonts w:eastAsia="Times New Roman"/>
          <w:color w:val="212121"/>
        </w:rPr>
        <w:t xml:space="preserve">U.S. Supreme </w:t>
      </w:r>
      <w:r w:rsidR="00E935F2" w:rsidRPr="00AD4A26">
        <w:rPr>
          <w:rFonts w:eastAsia="Times New Roman"/>
          <w:color w:val="212121"/>
        </w:rPr>
        <w:t>Court</w:t>
      </w:r>
      <w:r w:rsidR="003E01EA">
        <w:rPr>
          <w:rFonts w:eastAsia="Times New Roman"/>
          <w:color w:val="212121"/>
        </w:rPr>
        <w:t xml:space="preserve">, to further illustrate, </w:t>
      </w:r>
      <w:r w:rsidR="00E935F2" w:rsidRPr="00AD4A26">
        <w:rPr>
          <w:rFonts w:eastAsia="Times New Roman"/>
          <w:color w:val="212121"/>
        </w:rPr>
        <w:t xml:space="preserve">recounted </w:t>
      </w:r>
      <w:r w:rsidR="003E01EA">
        <w:rPr>
          <w:rFonts w:eastAsia="Times New Roman"/>
          <w:color w:val="212121"/>
        </w:rPr>
        <w:t xml:space="preserve">from a prior decision </w:t>
      </w:r>
      <w:r w:rsidR="00E935F2" w:rsidRPr="00AD4A26">
        <w:rPr>
          <w:rFonts w:eastAsia="Times New Roman"/>
          <w:color w:val="212121"/>
        </w:rPr>
        <w:t>a hypothetical state statute</w:t>
      </w:r>
      <w:r w:rsidR="00AD4A26">
        <w:rPr>
          <w:rFonts w:eastAsia="Times New Roman"/>
          <w:color w:val="212121"/>
        </w:rPr>
        <w:t xml:space="preserve"> </w:t>
      </w:r>
      <w:r w:rsidR="00E935F2" w:rsidRPr="00AD4A26">
        <w:rPr>
          <w:rFonts w:eastAsia="Times New Roman"/>
          <w:color w:val="212121"/>
        </w:rPr>
        <w:t>“declaring unenforceable any contract that ‘disallow[</w:t>
      </w:r>
      <w:proofErr w:type="spellStart"/>
      <w:r w:rsidR="00E935F2" w:rsidRPr="00AD4A26">
        <w:rPr>
          <w:rFonts w:eastAsia="Times New Roman"/>
          <w:color w:val="212121"/>
        </w:rPr>
        <w:t>ed</w:t>
      </w:r>
      <w:proofErr w:type="spellEnd"/>
      <w:r w:rsidR="00E935F2" w:rsidRPr="00AD4A26">
        <w:rPr>
          <w:rFonts w:eastAsia="Times New Roman"/>
          <w:color w:val="212121"/>
        </w:rPr>
        <w:t xml:space="preserve">] an ultimate disposition [of a dispute] by a jury’ ” </w:t>
      </w:r>
      <w:proofErr w:type="gramStart"/>
      <w:r w:rsidR="00E935F2" w:rsidRPr="00AD4A26">
        <w:rPr>
          <w:rFonts w:eastAsia="Times New Roman"/>
          <w:color w:val="212121"/>
        </w:rPr>
        <w:t>-  “</w:t>
      </w:r>
      <w:proofErr w:type="gramEnd"/>
      <w:r w:rsidR="00E935F2" w:rsidRPr="00AD4A26">
        <w:rPr>
          <w:rFonts w:eastAsia="Times New Roman"/>
          <w:color w:val="212121"/>
        </w:rPr>
        <w:t>[s]</w:t>
      </w:r>
      <w:proofErr w:type="spellStart"/>
      <w:r w:rsidR="00E935F2" w:rsidRPr="00AD4A26">
        <w:rPr>
          <w:rFonts w:eastAsia="Times New Roman"/>
          <w:color w:val="212121"/>
        </w:rPr>
        <w:t>uch</w:t>
      </w:r>
      <w:proofErr w:type="spellEnd"/>
      <w:r w:rsidR="00E935F2" w:rsidRPr="00AD4A26">
        <w:rPr>
          <w:rFonts w:eastAsia="Times New Roman"/>
          <w:color w:val="212121"/>
        </w:rPr>
        <w:t xml:space="preserve"> a law might avoid referring to arbitration by name; but still</w:t>
      </w:r>
      <w:r w:rsidR="00AD4A26">
        <w:rPr>
          <w:rFonts w:eastAsia="Times New Roman"/>
          <w:color w:val="212121"/>
        </w:rPr>
        <w:t xml:space="preserve"> </w:t>
      </w:r>
      <w:r w:rsidR="00E935F2" w:rsidRPr="00AD4A26">
        <w:rPr>
          <w:rFonts w:eastAsia="Times New Roman"/>
          <w:color w:val="212121"/>
        </w:rPr>
        <w:t>. . . would “rely on the uniqueness of an agreeme</w:t>
      </w:r>
      <w:r w:rsidR="003E01EA">
        <w:rPr>
          <w:rFonts w:eastAsia="Times New Roman"/>
          <w:color w:val="212121"/>
        </w:rPr>
        <w:t>nt to arbitrate as [its] basis” -</w:t>
      </w:r>
      <w:r w:rsidR="00F05AE4" w:rsidRPr="00AD4A26">
        <w:rPr>
          <w:rFonts w:eastAsia="Times New Roman"/>
          <w:color w:val="212121"/>
        </w:rPr>
        <w:t xml:space="preserve"> </w:t>
      </w:r>
      <w:r w:rsidR="00E935F2" w:rsidRPr="00AD4A26">
        <w:rPr>
          <w:rFonts w:eastAsia="Times New Roman"/>
          <w:color w:val="212121"/>
        </w:rPr>
        <w:t>and thereby violate the</w:t>
      </w:r>
      <w:r w:rsidR="00E935F2" w:rsidRPr="00AD4A26">
        <w:rPr>
          <w:rStyle w:val="apple-converted-space"/>
          <w:rFonts w:eastAsia="Times New Roman"/>
          <w:color w:val="212121"/>
        </w:rPr>
        <w:t> </w:t>
      </w:r>
      <w:r w:rsidR="00E935F2" w:rsidRPr="00AD4A26">
        <w:rPr>
          <w:rFonts w:eastAsia="Times New Roman"/>
          <w:color w:val="212121"/>
        </w:rPr>
        <w:t xml:space="preserve"> FAA.</w:t>
      </w:r>
      <w:r w:rsidR="00F05AE4" w:rsidRPr="00AD4A26">
        <w:rPr>
          <w:rFonts w:eastAsia="Times New Roman"/>
          <w:color w:val="212121"/>
        </w:rPr>
        <w:t>”</w:t>
      </w:r>
      <w:r w:rsidR="00496B6C" w:rsidRPr="00AD4A26">
        <w:rPr>
          <w:rStyle w:val="FootnoteReference"/>
          <w:rFonts w:eastAsia="Times New Roman"/>
          <w:color w:val="212121"/>
        </w:rPr>
        <w:footnoteReference w:id="24"/>
      </w:r>
    </w:p>
    <w:p w14:paraId="36D0DC8D" w14:textId="77777777" w:rsidR="00362D2B" w:rsidRDefault="00362D2B" w:rsidP="00F05AE4">
      <w:pPr>
        <w:shd w:val="clear" w:color="auto" w:fill="FFFFFF"/>
        <w:spacing w:before="120" w:after="120" w:line="276" w:lineRule="auto"/>
        <w:ind w:left="720" w:right="720"/>
        <w:jc w:val="both"/>
        <w:rPr>
          <w:rFonts w:eastAsia="Times New Roman"/>
          <w:color w:val="212121"/>
        </w:rPr>
      </w:pPr>
      <w:r w:rsidRPr="00AD4A26">
        <w:rPr>
          <w:rFonts w:eastAsia="Times New Roman"/>
          <w:color w:val="212121"/>
        </w:rPr>
        <w:t>In the absence of express preemptive language, Congress's intent to preempt all state law in a particular area may be inferred when the scheme of federal regulation is sufficiently comprehensive to make reasonable the inference that Congress left no room for supplementary state regulation.</w:t>
      </w:r>
      <w:r w:rsidR="00E935F2" w:rsidRPr="00AD4A26">
        <w:rPr>
          <w:rFonts w:eastAsia="Times New Roman"/>
          <w:color w:val="212121"/>
        </w:rPr>
        <w:t xml:space="preserve"> </w:t>
      </w:r>
      <w:r w:rsidRPr="00AD4A26">
        <w:rPr>
          <w:rFonts w:eastAsia="Times New Roman"/>
          <w:color w:val="212121"/>
        </w:rPr>
        <w:t>In determining whether Congress, through legislation, has so occupied a particular field as to preclude state legislation, the Supreme Court, in order to discover the boundaries of the particular field involved, will look to the federal statute itself and read in the light of its constitutional setting and its legislative history</w:t>
      </w:r>
      <w:r w:rsidR="00E935F2" w:rsidRPr="00AD4A26">
        <w:rPr>
          <w:rFonts w:eastAsia="Times New Roman"/>
          <w:color w:val="212121"/>
        </w:rPr>
        <w:t xml:space="preserve">. </w:t>
      </w:r>
      <w:r w:rsidRPr="00AD4A26">
        <w:rPr>
          <w:rFonts w:eastAsia="Times New Roman"/>
          <w:color w:val="212121"/>
        </w:rPr>
        <w:t>Further, a court will find preemption where it is impossible for a private party to comply with both state and federal law and where state law is obstacle to accomplishment and execution of Congress's full purposes and objectives; what is a sufficient obstacle is determined by examining the federal statute and identifying its purpose and intended effects</w:t>
      </w:r>
      <w:r w:rsidR="00E935F2" w:rsidRPr="00AD4A26">
        <w:rPr>
          <w:rFonts w:eastAsia="Times New Roman"/>
          <w:color w:val="212121"/>
        </w:rPr>
        <w:t>.</w:t>
      </w:r>
      <w:r w:rsidR="00496B6C" w:rsidRPr="00AD4A26">
        <w:rPr>
          <w:rStyle w:val="FootnoteReference"/>
          <w:rFonts w:eastAsia="Times New Roman"/>
          <w:color w:val="212121"/>
        </w:rPr>
        <w:footnoteReference w:id="25"/>
      </w:r>
    </w:p>
    <w:p w14:paraId="04AFAF2F" w14:textId="3EFA2175" w:rsidR="00EF3D68" w:rsidRPr="00AD4A26" w:rsidRDefault="00EF3D68" w:rsidP="00EF3D68">
      <w:pPr>
        <w:spacing w:before="120" w:after="120" w:line="276" w:lineRule="auto"/>
        <w:ind w:firstLine="720"/>
        <w:jc w:val="both"/>
        <w:rPr>
          <w:rFonts w:eastAsia="Times New Roman"/>
          <w:color w:val="212121"/>
        </w:rPr>
      </w:pPr>
      <w:r w:rsidRPr="00AD4A26">
        <w:t xml:space="preserve">In </w:t>
      </w:r>
      <w:r w:rsidRPr="00AD4A26">
        <w:rPr>
          <w:i/>
        </w:rPr>
        <w:t>Central Jersey Freightliner, Inc. v. Freightliner Corp.</w:t>
      </w:r>
      <w:r w:rsidRPr="00AD4A26">
        <w:t xml:space="preserve">, the District Court of New Jersey found a “clear conflict between the FAA and the N.J.S. 56:10-7.3 </w:t>
      </w:r>
      <w:r>
        <w:t xml:space="preserve">subsection </w:t>
      </w:r>
      <w:r w:rsidRPr="00AD4A26">
        <w:t>a(3).”</w:t>
      </w:r>
      <w:r w:rsidRPr="00AD4A26">
        <w:rPr>
          <w:rStyle w:val="FootnoteReference"/>
        </w:rPr>
        <w:footnoteReference w:id="26"/>
      </w:r>
      <w:r w:rsidRPr="00AD4A26">
        <w:t xml:space="preserve"> Summarizing its analysis of the nexus between the two laws, the court explained that “[b]</w:t>
      </w:r>
      <w:proofErr w:type="spellStart"/>
      <w:r w:rsidRPr="00AD4A26">
        <w:t>ecause</w:t>
      </w:r>
      <w:proofErr w:type="spellEnd"/>
      <w:r w:rsidRPr="00AD4A26">
        <w:t xml:space="preserve"> the FAA was intended to foreclose state legislative attempts to limit the enforceability of arbitration agreements, and because N.J.S. 56:10–7.3 </w:t>
      </w:r>
      <w:r>
        <w:t xml:space="preserve">subsection </w:t>
      </w:r>
      <w:r w:rsidRPr="00AD4A26">
        <w:t>a</w:t>
      </w:r>
      <w:proofErr w:type="gramStart"/>
      <w:r>
        <w:t>.</w:t>
      </w:r>
      <w:r w:rsidRPr="00AD4A26">
        <w:t>(</w:t>
      </w:r>
      <w:proofErr w:type="gramEnd"/>
      <w:r w:rsidRPr="00AD4A26">
        <w:t>3) is just such an attempt, the Court holds that N.J.S. 56:10–7.3</w:t>
      </w:r>
      <w:r>
        <w:t xml:space="preserve"> subsection</w:t>
      </w:r>
      <w:r w:rsidRPr="00AD4A26">
        <w:t xml:space="preserve"> a</w:t>
      </w:r>
      <w:r>
        <w:t>.</w:t>
      </w:r>
      <w:r w:rsidRPr="00AD4A26">
        <w:t>(3) violates the Supremacy Clause and is preempted by the FAA.”</w:t>
      </w:r>
      <w:r w:rsidRPr="00AD4A26">
        <w:rPr>
          <w:rStyle w:val="FootnoteReference"/>
        </w:rPr>
        <w:footnoteReference w:id="27"/>
      </w:r>
      <w:r w:rsidRPr="00AD4A26">
        <w:t xml:space="preserve"> </w:t>
      </w:r>
    </w:p>
    <w:p w14:paraId="05A9D6E2" w14:textId="3A10B049" w:rsidR="00D237F5" w:rsidRPr="00AD4A26" w:rsidRDefault="00EF3D68" w:rsidP="00496B6C">
      <w:pPr>
        <w:spacing w:before="120" w:after="120" w:line="276" w:lineRule="auto"/>
        <w:ind w:firstLine="720"/>
        <w:jc w:val="both"/>
      </w:pPr>
      <w:r>
        <w:t xml:space="preserve">The NJFPA disfavors arbitration and reflects New Jersey’s high regard for an individual’s right to a jury trial, in violation of the FAA. </w:t>
      </w:r>
      <w:r w:rsidR="00D237F5" w:rsidRPr="00AD4A26">
        <w:t>Federal law</w:t>
      </w:r>
      <w:r w:rsidR="006F6873" w:rsidRPr="00AD4A26">
        <w:t>, however,</w:t>
      </w:r>
      <w:r w:rsidR="00D237F5" w:rsidRPr="00AD4A26">
        <w:t xml:space="preserve"> does not require repeal of </w:t>
      </w:r>
      <w:r w:rsidR="006F6873" w:rsidRPr="00AD4A26">
        <w:t xml:space="preserve">state </w:t>
      </w:r>
      <w:r w:rsidR="00D237F5" w:rsidRPr="00AD4A26">
        <w:t xml:space="preserve">provisions </w:t>
      </w:r>
      <w:r w:rsidR="006F6873" w:rsidRPr="00AD4A26">
        <w:t>pre-empted by federal</w:t>
      </w:r>
      <w:r w:rsidR="00AD4A26" w:rsidRPr="00AD4A26">
        <w:t xml:space="preserve"> st</w:t>
      </w:r>
      <w:r w:rsidR="00F05AE4" w:rsidRPr="00AD4A26">
        <w:t>atute</w:t>
      </w:r>
      <w:r w:rsidR="006F6873" w:rsidRPr="00AD4A26">
        <w:t>.</w:t>
      </w:r>
      <w:r w:rsidR="002377EF" w:rsidRPr="00AD4A26">
        <w:rPr>
          <w:rStyle w:val="FootnoteReference"/>
        </w:rPr>
        <w:footnoteReference w:id="28"/>
      </w:r>
      <w:r w:rsidR="00834CAE">
        <w:t xml:space="preserve"> </w:t>
      </w:r>
      <w:r w:rsidR="00D237F5" w:rsidRPr="00AD4A26">
        <w:t>New Jersey</w:t>
      </w:r>
      <w:r>
        <w:t>, in fact, has a right to retain the statutory provisions preempted by the FAA</w:t>
      </w:r>
      <w:r w:rsidR="007D6B6E" w:rsidRPr="00AD4A26">
        <w:t>.</w:t>
      </w:r>
      <w:r w:rsidR="002377EF" w:rsidRPr="00AD4A26">
        <w:rPr>
          <w:rStyle w:val="FootnoteReference"/>
        </w:rPr>
        <w:footnoteReference w:id="29"/>
      </w:r>
    </w:p>
    <w:p w14:paraId="5FA53E6B" w14:textId="7FD134D3" w:rsidR="00896D8B" w:rsidRPr="00AD4A26" w:rsidRDefault="004D167F" w:rsidP="00496B6C">
      <w:pPr>
        <w:spacing w:before="120" w:after="120" w:line="276" w:lineRule="auto"/>
        <w:ind w:firstLine="720"/>
        <w:jc w:val="both"/>
      </w:pPr>
      <w:r w:rsidRPr="00AD4A26">
        <w:t>The Commission, however, finds that retaining a</w:t>
      </w:r>
      <w:r w:rsidR="006F6873" w:rsidRPr="00AD4A26">
        <w:t>n invalid</w:t>
      </w:r>
      <w:r w:rsidRPr="00AD4A26">
        <w:t xml:space="preserve"> statutory provision may lead to confusion, particularly for franchisors or franchisees relying on the </w:t>
      </w:r>
      <w:r w:rsidR="007073B8">
        <w:t xml:space="preserve">New Jersey </w:t>
      </w:r>
      <w:r w:rsidRPr="00AD4A26">
        <w:t>statute for guidance</w:t>
      </w:r>
      <w:r w:rsidR="00EF3D68">
        <w:t>, as well as in situations where New Jersey statutes are considered in the formation of in</w:t>
      </w:r>
      <w:r w:rsidR="0025339A" w:rsidRPr="00AD4A26">
        <w:t>terstate franchise agreements</w:t>
      </w:r>
      <w:r w:rsidRPr="00AD4A26">
        <w:t>.</w:t>
      </w:r>
      <w:r w:rsidR="003E01EA">
        <w:t xml:space="preserve"> </w:t>
      </w:r>
      <w:r w:rsidR="007D6B6E" w:rsidRPr="00AD4A26">
        <w:t>The</w:t>
      </w:r>
      <w:r w:rsidR="001B12A4" w:rsidRPr="00AD4A26">
        <w:t xml:space="preserve"> </w:t>
      </w:r>
      <w:r w:rsidR="007D6B6E" w:rsidRPr="00AD4A26">
        <w:t xml:space="preserve">recommendations of </w:t>
      </w:r>
      <w:r w:rsidR="009A1478">
        <w:t xml:space="preserve">the NJLRC to repeal portions of </w:t>
      </w:r>
      <w:r w:rsidR="007D6B6E" w:rsidRPr="00AD4A26">
        <w:t>section 7.3</w:t>
      </w:r>
      <w:r w:rsidR="006F6873" w:rsidRPr="00AD4A26">
        <w:t xml:space="preserve"> which violate</w:t>
      </w:r>
      <w:r w:rsidR="002377EF" w:rsidRPr="00AD4A26">
        <w:t xml:space="preserve"> the FAA, as identified by the U.S. Supreme Court in the </w:t>
      </w:r>
      <w:r w:rsidR="002377EF" w:rsidRPr="00AD4A26">
        <w:rPr>
          <w:i/>
        </w:rPr>
        <w:t>Kindred Nursing</w:t>
      </w:r>
      <w:r w:rsidR="002377EF" w:rsidRPr="00AD4A26">
        <w:t xml:space="preserve"> decision</w:t>
      </w:r>
      <w:r w:rsidR="007073B8">
        <w:t>,</w:t>
      </w:r>
      <w:r w:rsidR="007D6B6E" w:rsidRPr="00AD4A26">
        <w:t xml:space="preserve"> are c</w:t>
      </w:r>
      <w:r w:rsidR="009021C2" w:rsidRPr="00AD4A26">
        <w:t xml:space="preserve">onsistent with the </w:t>
      </w:r>
      <w:r w:rsidR="007D6B6E" w:rsidRPr="00AD4A26">
        <w:t xml:space="preserve">Commission’s statutory </w:t>
      </w:r>
      <w:r w:rsidR="009021C2" w:rsidRPr="00AD4A26">
        <w:t xml:space="preserve">mandate to clarify </w:t>
      </w:r>
      <w:r w:rsidR="00102DB3" w:rsidRPr="00AD4A26">
        <w:t>confusing provisions in the law.</w:t>
      </w:r>
    </w:p>
    <w:p w14:paraId="6158700D" w14:textId="77777777" w:rsidR="003F10AA" w:rsidRPr="00AD4A26" w:rsidRDefault="003F10AA" w:rsidP="00496B6C">
      <w:pPr>
        <w:spacing w:before="120" w:after="120" w:line="276" w:lineRule="auto"/>
        <w:ind w:firstLine="720"/>
        <w:jc w:val="both"/>
        <w:rPr>
          <w:smallCaps/>
        </w:rPr>
      </w:pPr>
    </w:p>
    <w:p w14:paraId="6E4BAB0E" w14:textId="5EC64BA6" w:rsidR="00AD4A26" w:rsidRPr="00AD4A26" w:rsidRDefault="00EC1A6A" w:rsidP="00496B6C">
      <w:pPr>
        <w:spacing w:before="120" w:after="120" w:line="276" w:lineRule="auto"/>
        <w:jc w:val="center"/>
        <w:rPr>
          <w:b/>
          <w:smallCaps/>
        </w:rPr>
      </w:pPr>
      <w:r w:rsidRPr="00AD4A26">
        <w:rPr>
          <w:b/>
          <w:smallCaps/>
        </w:rPr>
        <w:t>Proposed Revision</w:t>
      </w:r>
    </w:p>
    <w:p w14:paraId="67EE2B06" w14:textId="77777777" w:rsidR="003C1E3F" w:rsidRPr="00AD4A26" w:rsidRDefault="003C1E3F" w:rsidP="00496B6C">
      <w:pPr>
        <w:spacing w:before="120" w:after="120" w:line="276" w:lineRule="auto"/>
        <w:ind w:firstLine="720"/>
        <w:jc w:val="both"/>
      </w:pPr>
      <w:r w:rsidRPr="00AD4A26">
        <w:rPr>
          <w:rFonts w:eastAsia="Times New Roman"/>
        </w:rPr>
        <w:t>The proposed revisions to N.J.S. 56:10-4</w:t>
      </w:r>
      <w:r w:rsidR="00816E78" w:rsidRPr="00AD4A26">
        <w:rPr>
          <w:rFonts w:eastAsia="Times New Roman"/>
        </w:rPr>
        <w:t xml:space="preserve"> subsection </w:t>
      </w:r>
      <w:r w:rsidR="0090142C" w:rsidRPr="00AD4A26">
        <w:rPr>
          <w:rFonts w:eastAsia="Times New Roman"/>
        </w:rPr>
        <w:t>a</w:t>
      </w:r>
      <w:r w:rsidR="005A30AD" w:rsidRPr="00AD4A26">
        <w:rPr>
          <w:rFonts w:eastAsia="Times New Roman"/>
        </w:rPr>
        <w:t>.</w:t>
      </w:r>
      <w:r w:rsidR="0090142C" w:rsidRPr="00AD4A26">
        <w:rPr>
          <w:rFonts w:eastAsia="Times New Roman"/>
        </w:rPr>
        <w:t>(</w:t>
      </w:r>
      <w:r w:rsidR="00CE4979" w:rsidRPr="00AD4A26">
        <w:rPr>
          <w:rFonts w:eastAsia="Times New Roman"/>
        </w:rPr>
        <w:t>2</w:t>
      </w:r>
      <w:r w:rsidR="0090142C" w:rsidRPr="00AD4A26">
        <w:rPr>
          <w:rFonts w:eastAsia="Times New Roman"/>
        </w:rPr>
        <w:t>)</w:t>
      </w:r>
      <w:r w:rsidRPr="00AD4A26">
        <w:rPr>
          <w:rFonts w:eastAsia="Times New Roman"/>
        </w:rPr>
        <w:t xml:space="preserve"> reflect the Supreme Court holding in </w:t>
      </w:r>
      <w:r w:rsidRPr="00AD4A26">
        <w:rPr>
          <w:rFonts w:eastAsia="Times New Roman"/>
          <w:i/>
        </w:rPr>
        <w:t>T</w:t>
      </w:r>
      <w:r w:rsidRPr="00AD4A26">
        <w:rPr>
          <w:i/>
        </w:rPr>
        <w:t>ynan v. General Motors Corp</w:t>
      </w:r>
      <w:r w:rsidRPr="00AD4A26">
        <w:t xml:space="preserve">., </w:t>
      </w:r>
      <w:r w:rsidR="00046EFD" w:rsidRPr="00AD4A26">
        <w:t xml:space="preserve">which </w:t>
      </w:r>
      <w:r w:rsidRPr="00AD4A26">
        <w:t>revers</w:t>
      </w:r>
      <w:r w:rsidR="00046EFD" w:rsidRPr="00AD4A26">
        <w:t>ed</w:t>
      </w:r>
      <w:r w:rsidRPr="00AD4A26">
        <w:t xml:space="preserve"> in part the Appellate Division decision and affirm</w:t>
      </w:r>
      <w:r w:rsidR="00046EFD" w:rsidRPr="00AD4A26">
        <w:t>ed</w:t>
      </w:r>
      <w:r w:rsidRPr="00AD4A26">
        <w:t xml:space="preserve"> the reasoning of Judge Cohen’s partial dissent, proposing that the current twelve month period should be “limited to ongoing franchises that are in business when suit is started.</w:t>
      </w:r>
      <w:r w:rsidR="00102DB3" w:rsidRPr="00AD4A26">
        <w:t>”</w:t>
      </w:r>
      <w:r w:rsidR="000430B5" w:rsidRPr="00AD4A26">
        <w:rPr>
          <w:rStyle w:val="FootnoteReference"/>
        </w:rPr>
        <w:footnoteReference w:id="30"/>
      </w:r>
      <w:r w:rsidRPr="00AD4A26">
        <w:t xml:space="preserve"> Businesses that have terminated before suit starts must have their gross sales calculated for the last 12 months they existed.”</w:t>
      </w:r>
      <w:r w:rsidRPr="00AD4A26">
        <w:rPr>
          <w:rStyle w:val="FootnoteReference"/>
        </w:rPr>
        <w:footnoteReference w:id="31"/>
      </w:r>
    </w:p>
    <w:p w14:paraId="36F57799" w14:textId="77777777" w:rsidR="00AD4A26" w:rsidRDefault="008A60FE" w:rsidP="00AD4A26">
      <w:pPr>
        <w:spacing w:before="120" w:after="120" w:line="276" w:lineRule="auto"/>
        <w:ind w:firstLine="720"/>
        <w:jc w:val="both"/>
      </w:pPr>
      <w:r w:rsidRPr="00AD4A26">
        <w:t xml:space="preserve">The recommendations which follow </w:t>
      </w:r>
      <w:r w:rsidR="00F14D93" w:rsidRPr="00AD4A26">
        <w:t xml:space="preserve">also </w:t>
      </w:r>
      <w:r w:rsidR="00102DB3" w:rsidRPr="00AD4A26">
        <w:t xml:space="preserve">propose revisions to </w:t>
      </w:r>
      <w:r w:rsidR="00F14D93" w:rsidRPr="00AD4A26">
        <w:rPr>
          <w:rFonts w:eastAsia="Times New Roman"/>
        </w:rPr>
        <w:t xml:space="preserve">N.J.S. 56:10-7.3 </w:t>
      </w:r>
      <w:r w:rsidR="00102DB3" w:rsidRPr="00AD4A26">
        <w:t xml:space="preserve">and identify for repeal portions of </w:t>
      </w:r>
      <w:r w:rsidR="00816E78" w:rsidRPr="00AD4A26">
        <w:t>that section</w:t>
      </w:r>
      <w:r w:rsidR="00102DB3" w:rsidRPr="00AD4A26">
        <w:t xml:space="preserve">, </w:t>
      </w:r>
      <w:r w:rsidRPr="00AD4A26">
        <w:t>consistent with the Commission’s statutory mandate to clarify</w:t>
      </w:r>
      <w:r w:rsidR="00102DB3" w:rsidRPr="00AD4A26">
        <w:t xml:space="preserve"> confusing provisions in the</w:t>
      </w:r>
      <w:r w:rsidR="002377EF" w:rsidRPr="00AD4A26">
        <w:t xml:space="preserve"> statutory body of</w:t>
      </w:r>
      <w:r w:rsidR="00102DB3" w:rsidRPr="00AD4A26">
        <w:t xml:space="preserve"> law</w:t>
      </w:r>
      <w:r w:rsidRPr="00AD4A26">
        <w:t>.</w:t>
      </w:r>
    </w:p>
    <w:p w14:paraId="01F9EA13" w14:textId="77777777" w:rsidR="00EC1A6A" w:rsidRPr="00AD4A26" w:rsidRDefault="00AD4A26" w:rsidP="00AD4A26">
      <w:pPr>
        <w:spacing w:after="200" w:line="276" w:lineRule="auto"/>
        <w:jc w:val="center"/>
      </w:pPr>
      <w:r>
        <w:br w:type="page"/>
      </w:r>
      <w:r w:rsidR="00EC1A6A" w:rsidRPr="00AD4A26">
        <w:rPr>
          <w:b/>
          <w:smallCaps/>
        </w:rPr>
        <w:t>Appendix</w:t>
      </w:r>
    </w:p>
    <w:p w14:paraId="6219C135" w14:textId="77777777" w:rsidR="00EC1A6A" w:rsidRPr="00AD4A26" w:rsidRDefault="00EC1A6A" w:rsidP="00EC1A6A">
      <w:pPr>
        <w:pStyle w:val="NoSpacing"/>
        <w:spacing w:after="120" w:line="276" w:lineRule="auto"/>
        <w:jc w:val="both"/>
        <w:rPr>
          <w:b/>
        </w:rPr>
      </w:pPr>
      <w:bookmarkStart w:id="0" w:name="_GoBack"/>
      <w:bookmarkEnd w:id="0"/>
      <w:r w:rsidRPr="00AD4A26">
        <w:rPr>
          <w:b/>
        </w:rPr>
        <w:t>N.J.S. 56:10–4. Franchises to Which Act Applicable</w:t>
      </w:r>
    </w:p>
    <w:p w14:paraId="1115ECE4" w14:textId="77777777" w:rsidR="009A5F2C" w:rsidRPr="00AD4A26" w:rsidRDefault="009A5F2C" w:rsidP="009A5F2C">
      <w:pPr>
        <w:spacing w:after="120"/>
        <w:contextualSpacing/>
        <w:rPr>
          <w:rFonts w:eastAsia="Calibri"/>
        </w:rPr>
      </w:pPr>
      <w:r w:rsidRPr="00AD4A26">
        <w:rPr>
          <w:rFonts w:eastAsia="Calibri"/>
        </w:rPr>
        <w:t>This act applies only:</w:t>
      </w:r>
    </w:p>
    <w:p w14:paraId="112DAA1E" w14:textId="77777777" w:rsidR="009A5F2C" w:rsidRPr="00AD4A26" w:rsidRDefault="009A5F2C" w:rsidP="009A5F2C">
      <w:pPr>
        <w:spacing w:after="120"/>
        <w:contextualSpacing/>
        <w:rPr>
          <w:rFonts w:eastAsia="Calibri"/>
        </w:rPr>
      </w:pPr>
    </w:p>
    <w:p w14:paraId="1FE3F8B9" w14:textId="77777777" w:rsidR="009A5F2C" w:rsidRPr="00AD4A26" w:rsidRDefault="009A5F2C" w:rsidP="009A5F2C">
      <w:pPr>
        <w:spacing w:after="120"/>
        <w:ind w:left="720"/>
        <w:contextualSpacing/>
        <w:rPr>
          <w:rFonts w:eastAsia="Calibri"/>
        </w:rPr>
      </w:pPr>
      <w:proofErr w:type="gramStart"/>
      <w:r w:rsidRPr="00AD4A26">
        <w:rPr>
          <w:rFonts w:eastAsia="Calibri"/>
        </w:rPr>
        <w:t>a</w:t>
      </w:r>
      <w:proofErr w:type="gramEnd"/>
      <w:r w:rsidRPr="00AD4A26">
        <w:rPr>
          <w:rFonts w:eastAsia="Calibri"/>
        </w:rPr>
        <w:t xml:space="preserve">. to a franchise: </w:t>
      </w:r>
    </w:p>
    <w:p w14:paraId="07C9910D" w14:textId="77777777" w:rsidR="009A5F2C" w:rsidRPr="00AD4A26" w:rsidRDefault="009A5F2C" w:rsidP="009A5F2C">
      <w:pPr>
        <w:spacing w:after="120"/>
        <w:ind w:left="720" w:firstLine="720"/>
        <w:contextualSpacing/>
        <w:rPr>
          <w:rFonts w:eastAsia="Calibri"/>
        </w:rPr>
      </w:pPr>
      <w:r w:rsidRPr="00AD4A26">
        <w:rPr>
          <w:rFonts w:eastAsia="Calibri"/>
        </w:rPr>
        <w:t xml:space="preserve">(1) </w:t>
      </w:r>
      <w:proofErr w:type="gramStart"/>
      <w:r w:rsidRPr="00AD4A26">
        <w:rPr>
          <w:rFonts w:eastAsia="Calibri"/>
        </w:rPr>
        <w:t>the</w:t>
      </w:r>
      <w:proofErr w:type="gramEnd"/>
      <w:r w:rsidRPr="00AD4A26">
        <w:rPr>
          <w:rFonts w:eastAsia="Calibri"/>
        </w:rPr>
        <w:t xml:space="preserve"> performance of which contemplates or requires the franchisee to establish or maintain a place of business within the State of New Jersey, </w:t>
      </w:r>
    </w:p>
    <w:p w14:paraId="5ACE49E8" w14:textId="77777777" w:rsidR="009A5F2C" w:rsidRPr="00AD4A26" w:rsidRDefault="009A5F2C" w:rsidP="009A5F2C">
      <w:pPr>
        <w:spacing w:after="120"/>
        <w:ind w:left="720" w:firstLine="720"/>
        <w:contextualSpacing/>
        <w:rPr>
          <w:rFonts w:eastAsia="Calibri"/>
        </w:rPr>
      </w:pPr>
      <w:r w:rsidRPr="00AD4A26">
        <w:rPr>
          <w:rFonts w:eastAsia="Calibri"/>
        </w:rPr>
        <w:t xml:space="preserve">(2) </w:t>
      </w:r>
      <w:proofErr w:type="gramStart"/>
      <w:r w:rsidRPr="00AD4A26">
        <w:rPr>
          <w:rFonts w:eastAsia="Calibri"/>
        </w:rPr>
        <w:t>where</w:t>
      </w:r>
      <w:proofErr w:type="gramEnd"/>
      <w:r w:rsidRPr="00AD4A26">
        <w:rPr>
          <w:rFonts w:eastAsia="Calibri"/>
        </w:rPr>
        <w:t xml:space="preserve"> gross sales of products or services between the franchisor and franchisee covered by such franchise shall have exceeded $35,000.00 for:</w:t>
      </w:r>
    </w:p>
    <w:p w14:paraId="36F62D3D" w14:textId="77777777" w:rsidR="009A5F2C" w:rsidRPr="00AD4A26" w:rsidRDefault="009A5F2C" w:rsidP="009A5F2C">
      <w:pPr>
        <w:spacing w:after="120"/>
        <w:ind w:left="1440" w:firstLine="720"/>
        <w:contextualSpacing/>
        <w:rPr>
          <w:rFonts w:eastAsia="Calibri"/>
          <w:u w:val="single"/>
        </w:rPr>
      </w:pPr>
      <w:r w:rsidRPr="00AD4A26">
        <w:rPr>
          <w:rFonts w:eastAsia="Calibri"/>
        </w:rPr>
        <w:t xml:space="preserve">(A) the 12 months </w:t>
      </w:r>
      <w:r w:rsidRPr="00AD4A26">
        <w:rPr>
          <w:rFonts w:eastAsia="Calibri"/>
          <w:strike/>
        </w:rPr>
        <w:t>next</w:t>
      </w:r>
      <w:r w:rsidRPr="00AD4A26">
        <w:rPr>
          <w:rFonts w:eastAsia="Calibri"/>
        </w:rPr>
        <w:t xml:space="preserve"> </w:t>
      </w:r>
      <w:r w:rsidRPr="00AD4A26">
        <w:rPr>
          <w:rFonts w:eastAsia="Calibri"/>
          <w:u w:val="single"/>
        </w:rPr>
        <w:t>immediately</w:t>
      </w:r>
      <w:r w:rsidRPr="00AD4A26">
        <w:rPr>
          <w:rFonts w:eastAsia="Calibri"/>
        </w:rPr>
        <w:t xml:space="preserve"> preceding the institution of suit pursuant to this act </w:t>
      </w:r>
      <w:r w:rsidRPr="00AD4A26">
        <w:rPr>
          <w:rFonts w:eastAsia="Calibri"/>
          <w:u w:val="single"/>
        </w:rPr>
        <w:t xml:space="preserve">for ongoing franchises that remain in business when suit is instituted or, </w:t>
      </w:r>
    </w:p>
    <w:p w14:paraId="1D323C7A" w14:textId="77777777" w:rsidR="009A5F2C" w:rsidRPr="00AD4A26" w:rsidRDefault="009A5F2C" w:rsidP="009A5F2C">
      <w:pPr>
        <w:spacing w:after="120"/>
        <w:ind w:left="1440" w:firstLine="720"/>
        <w:contextualSpacing/>
        <w:rPr>
          <w:rFonts w:eastAsia="Calibri"/>
        </w:rPr>
      </w:pPr>
      <w:r w:rsidRPr="00AD4A26">
        <w:rPr>
          <w:rFonts w:eastAsia="Calibri"/>
          <w:u w:val="single"/>
        </w:rPr>
        <w:t xml:space="preserve">(B) </w:t>
      </w:r>
      <w:proofErr w:type="gramStart"/>
      <w:r w:rsidRPr="00AD4A26">
        <w:rPr>
          <w:rFonts w:eastAsia="Calibri"/>
          <w:u w:val="single"/>
        </w:rPr>
        <w:t>the</w:t>
      </w:r>
      <w:proofErr w:type="gramEnd"/>
      <w:r w:rsidRPr="00AD4A26">
        <w:rPr>
          <w:rFonts w:eastAsia="Calibri"/>
          <w:u w:val="single"/>
        </w:rPr>
        <w:t xml:space="preserve"> last 12 months of business operation for businesses that have terminated before the institution of suit pursuant to this act,</w:t>
      </w:r>
      <w:r w:rsidRPr="00AD4A26">
        <w:rPr>
          <w:rFonts w:eastAsia="Calibri"/>
        </w:rPr>
        <w:t xml:space="preserve"> and </w:t>
      </w:r>
    </w:p>
    <w:p w14:paraId="2B46DA74" w14:textId="77777777" w:rsidR="009A5F2C" w:rsidRPr="00AD4A26" w:rsidRDefault="009A5F2C" w:rsidP="009A5F2C">
      <w:pPr>
        <w:spacing w:after="120"/>
        <w:ind w:left="720" w:firstLine="720"/>
        <w:contextualSpacing/>
        <w:rPr>
          <w:rFonts w:eastAsia="Calibri"/>
        </w:rPr>
      </w:pPr>
      <w:r w:rsidRPr="00AD4A26">
        <w:rPr>
          <w:rFonts w:eastAsia="Calibri"/>
        </w:rPr>
        <w:t xml:space="preserve">(3) </w:t>
      </w:r>
      <w:proofErr w:type="gramStart"/>
      <w:r w:rsidRPr="00AD4A26">
        <w:rPr>
          <w:rFonts w:eastAsia="Calibri"/>
        </w:rPr>
        <w:t>where</w:t>
      </w:r>
      <w:proofErr w:type="gramEnd"/>
      <w:r w:rsidRPr="00AD4A26">
        <w:rPr>
          <w:rFonts w:eastAsia="Calibri"/>
        </w:rPr>
        <w:t xml:space="preserve"> more than 20% of the franchisee's gross sales are intended to be or are derived from such franchise; or</w:t>
      </w:r>
    </w:p>
    <w:p w14:paraId="58376E94" w14:textId="77777777" w:rsidR="009A5F2C" w:rsidRPr="00AD4A26" w:rsidRDefault="009A5F2C" w:rsidP="009A5F2C">
      <w:pPr>
        <w:spacing w:after="120"/>
        <w:contextualSpacing/>
        <w:rPr>
          <w:rFonts w:eastAsia="Calibri"/>
        </w:rPr>
      </w:pPr>
    </w:p>
    <w:p w14:paraId="619A06D2" w14:textId="77777777" w:rsidR="009A5F2C" w:rsidRPr="00AD4A26" w:rsidRDefault="009A5F2C" w:rsidP="009A5F2C">
      <w:pPr>
        <w:spacing w:after="120"/>
        <w:ind w:left="720"/>
        <w:contextualSpacing/>
        <w:rPr>
          <w:rFonts w:eastAsia="Calibri"/>
        </w:rPr>
      </w:pPr>
      <w:proofErr w:type="gramStart"/>
      <w:r w:rsidRPr="00AD4A26">
        <w:rPr>
          <w:rFonts w:eastAsia="Calibri"/>
        </w:rPr>
        <w:t>b</w:t>
      </w:r>
      <w:proofErr w:type="gramEnd"/>
      <w:r w:rsidRPr="00AD4A26">
        <w:rPr>
          <w:rFonts w:eastAsia="Calibri"/>
        </w:rPr>
        <w:t>. to a franchise for the sale of new motor vehicles as defined in R.S.39:10-2, the performance of which contemplates or requires the franchisee to establish or maintain a place of business within the State of New Jersey.</w:t>
      </w:r>
      <w:r w:rsidR="009C49D1" w:rsidRPr="00AD4A26">
        <w:rPr>
          <w:rStyle w:val="FootnoteReference"/>
          <w:rFonts w:eastAsia="Calibri"/>
        </w:rPr>
        <w:footnoteReference w:id="32"/>
      </w:r>
    </w:p>
    <w:p w14:paraId="6D048512" w14:textId="77777777" w:rsidR="00EC1A6A" w:rsidRPr="00AD4A26" w:rsidRDefault="00EC1A6A" w:rsidP="00EC1A6A">
      <w:pPr>
        <w:jc w:val="both"/>
        <w:rPr>
          <w:rFonts w:eastAsia="Times New Roman"/>
          <w:color w:val="212121"/>
        </w:rPr>
      </w:pPr>
    </w:p>
    <w:p w14:paraId="6171FB1F" w14:textId="77777777" w:rsidR="00B2454D" w:rsidRPr="00AD4A26" w:rsidRDefault="00B2454D" w:rsidP="00B2454D">
      <w:pPr>
        <w:pStyle w:val="NoSpacing"/>
        <w:spacing w:line="276" w:lineRule="auto"/>
        <w:jc w:val="both"/>
      </w:pPr>
      <w:r w:rsidRPr="00AD4A26">
        <w:rPr>
          <w:b/>
        </w:rPr>
        <w:t>N.J.S. 56:10-7.3. Motor vehicle franchises; prohibition of certain terms or conditions; presumption; remedies</w:t>
      </w:r>
    </w:p>
    <w:p w14:paraId="6CBBD091" w14:textId="77777777" w:rsidR="00B2454D" w:rsidRPr="00AD4A26" w:rsidRDefault="00B2454D" w:rsidP="00B2454D">
      <w:pPr>
        <w:pStyle w:val="NoSpacing"/>
        <w:spacing w:line="276" w:lineRule="auto"/>
        <w:jc w:val="both"/>
      </w:pPr>
    </w:p>
    <w:p w14:paraId="7C3D31A0" w14:textId="77777777" w:rsidR="00B2454D" w:rsidRPr="00AD4A26" w:rsidRDefault="00B2454D" w:rsidP="00B2454D">
      <w:pPr>
        <w:pStyle w:val="NoSpacing"/>
        <w:spacing w:line="276" w:lineRule="auto"/>
        <w:jc w:val="both"/>
      </w:pPr>
      <w:r w:rsidRPr="00AD4A26">
        <w:t>a. It shall be a violation of the “Franchise Practices Act,” P.L.1971, c. 356 (C.56:10-1 et seq.) to require a</w:t>
      </w:r>
      <w:r w:rsidRPr="00AD4A26">
        <w:rPr>
          <w:b/>
        </w:rPr>
        <w:t xml:space="preserve"> </w:t>
      </w:r>
      <w:r w:rsidRPr="00AD4A26">
        <w:t>motor vehicle franchisee to agree to a term or condition in a franchise, or in any lease or agreement ancillary or collateral to a franchise, which</w:t>
      </w:r>
      <w:r w:rsidRPr="00AD4A26">
        <w:rPr>
          <w:strike/>
        </w:rPr>
        <w:t>:</w:t>
      </w:r>
    </w:p>
    <w:p w14:paraId="52A5B724" w14:textId="77777777" w:rsidR="00B2454D" w:rsidRPr="00AD4A26" w:rsidRDefault="00B2454D" w:rsidP="00B2454D">
      <w:pPr>
        <w:pStyle w:val="NoSpacing"/>
        <w:spacing w:line="276" w:lineRule="auto"/>
        <w:jc w:val="both"/>
      </w:pPr>
    </w:p>
    <w:p w14:paraId="3A6FCF33" w14:textId="77777777" w:rsidR="00B2454D" w:rsidRPr="00AD4A26" w:rsidRDefault="00B2454D" w:rsidP="00AD4A26">
      <w:pPr>
        <w:pStyle w:val="NoSpacing"/>
        <w:spacing w:line="276" w:lineRule="auto"/>
        <w:ind w:left="720"/>
        <w:jc w:val="both"/>
      </w:pPr>
      <w:r w:rsidRPr="00AD4A26">
        <w:rPr>
          <w:strike/>
        </w:rPr>
        <w:t xml:space="preserve">(1) </w:t>
      </w:r>
      <w:proofErr w:type="gramStart"/>
      <w:r w:rsidRPr="00AD4A26">
        <w:rPr>
          <w:strike/>
        </w:rPr>
        <w:t>Requires</w:t>
      </w:r>
      <w:proofErr w:type="gramEnd"/>
      <w:r w:rsidRPr="00AD4A26">
        <w:rPr>
          <w:strike/>
        </w:rPr>
        <w:t xml:space="preserve"> the motor vehicle franchisee to waive trial by jury in actions involving the motor vehicle franchisor;</w:t>
      </w:r>
      <w:r w:rsidRPr="00AD4A26">
        <w:t xml:space="preserve"> </w:t>
      </w:r>
    </w:p>
    <w:p w14:paraId="6E6C9950" w14:textId="77777777" w:rsidR="00B2454D" w:rsidRPr="00AD4A26" w:rsidRDefault="00B2454D" w:rsidP="00AD4A26">
      <w:pPr>
        <w:pStyle w:val="NoSpacing"/>
        <w:spacing w:line="276" w:lineRule="auto"/>
        <w:ind w:left="720"/>
        <w:jc w:val="both"/>
      </w:pPr>
      <w:r w:rsidRPr="00AD4A26">
        <w:rPr>
          <w:strike/>
        </w:rPr>
        <w:t>(2)</w:t>
      </w:r>
      <w:r w:rsidRPr="00AD4A26">
        <w:t xml:space="preserve"> </w:t>
      </w:r>
      <w:proofErr w:type="spellStart"/>
      <w:r w:rsidRPr="00AD4A26">
        <w:rPr>
          <w:strike/>
          <w:u w:val="single"/>
        </w:rPr>
        <w:t>S</w:t>
      </w:r>
      <w:r w:rsidRPr="00AD4A26">
        <w:rPr>
          <w:u w:val="single"/>
        </w:rPr>
        <w:t>specifies</w:t>
      </w:r>
      <w:proofErr w:type="spellEnd"/>
      <w:r w:rsidRPr="00AD4A26">
        <w:t xml:space="preserve"> the jurisdictions</w:t>
      </w:r>
      <w:r w:rsidRPr="00AD4A26">
        <w:rPr>
          <w:strike/>
        </w:rPr>
        <w:t>,</w:t>
      </w:r>
      <w:r w:rsidRPr="00AD4A26">
        <w:t xml:space="preserve"> </w:t>
      </w:r>
      <w:r w:rsidRPr="00AD4A26">
        <w:rPr>
          <w:u w:val="single"/>
        </w:rPr>
        <w:t>or</w:t>
      </w:r>
      <w:r w:rsidRPr="00AD4A26">
        <w:t xml:space="preserve"> venues </w:t>
      </w:r>
      <w:r w:rsidRPr="00AD4A26">
        <w:rPr>
          <w:strike/>
        </w:rPr>
        <w:t>or tribunals</w:t>
      </w:r>
      <w:r w:rsidRPr="00AD4A26">
        <w:t xml:space="preserve"> in which disputes arising with respect to the franchise, lease or agreement shall or shall not be submitted for resolution</w:t>
      </w:r>
      <w:r w:rsidRPr="00AD4A26">
        <w:rPr>
          <w:u w:val="single"/>
        </w:rPr>
        <w:t xml:space="preserve">. </w:t>
      </w:r>
      <w:proofErr w:type="gramStart"/>
      <w:r w:rsidRPr="00AD4A26">
        <w:rPr>
          <w:strike/>
        </w:rPr>
        <w:t>or</w:t>
      </w:r>
      <w:proofErr w:type="gramEnd"/>
      <w:r w:rsidRPr="00AD4A26">
        <w:rPr>
          <w:strike/>
        </w:rPr>
        <w:t xml:space="preserve"> otherwise prohibits a motor vehicle franchisee from bringing an action in a particular forum otherwise available under the law of this State</w:t>
      </w:r>
      <w:r w:rsidRPr="00AD4A26">
        <w:rPr>
          <w:u w:val="single"/>
        </w:rPr>
        <w:t>.</w:t>
      </w:r>
      <w:r w:rsidRPr="00AD4A26">
        <w:rPr>
          <w:strike/>
        </w:rPr>
        <w:t>; or</w:t>
      </w:r>
    </w:p>
    <w:p w14:paraId="57427E55" w14:textId="77777777" w:rsidR="00B2454D" w:rsidRPr="00AD4A26" w:rsidRDefault="00B2454D" w:rsidP="00B2454D">
      <w:pPr>
        <w:pStyle w:val="NoSpacing"/>
        <w:spacing w:line="276" w:lineRule="auto"/>
        <w:ind w:left="720"/>
        <w:jc w:val="both"/>
        <w:rPr>
          <w:strike/>
        </w:rPr>
      </w:pPr>
      <w:r w:rsidRPr="00AD4A26">
        <w:rPr>
          <w:strike/>
        </w:rPr>
        <w:t>(3) Requires that disputes between the motor vehicle franchisor and motor vehicle franchisee be submitted to arbitration or to any other binding alternate dispute resolution procedure; provided, however, that any franchise, lease or agreement may authorize the submission of a dispute to arbitration or to binding alternate dispute resolution if the motor vehicle franchisor and motor vehicle franchisee voluntarily agree to submit the dispute to arbitration or binding alternate dispute resolution at the time the dispute arises.</w:t>
      </w:r>
    </w:p>
    <w:p w14:paraId="2CF56EDA" w14:textId="77777777" w:rsidR="00B2454D" w:rsidRPr="00AD4A26" w:rsidRDefault="00B2454D" w:rsidP="00B2454D">
      <w:pPr>
        <w:pStyle w:val="NoSpacing"/>
        <w:spacing w:line="276" w:lineRule="auto"/>
        <w:jc w:val="both"/>
      </w:pPr>
    </w:p>
    <w:p w14:paraId="5EAA7138" w14:textId="77777777" w:rsidR="00B2454D" w:rsidRPr="00AD4A26" w:rsidRDefault="00B2454D" w:rsidP="00B2454D">
      <w:pPr>
        <w:pStyle w:val="NoSpacing"/>
        <w:spacing w:line="276" w:lineRule="auto"/>
        <w:jc w:val="both"/>
      </w:pPr>
      <w:r w:rsidRPr="00AD4A26">
        <w:t>b. For the purposes of this section, it shall be presumed that a motor vehicle franchisee has been required to agree to a term or condition in violation of this section as a condition of the offer, grant or renewal of a franchise or of any lease or agreement ancillary or collateral to a franchise, if the motor vehicle franchisee, at the time of the offer, grant or renewal of the franchise, lease or agreement is not offered the option of an identical franchise, lease or agreement without the term or condition proscribed by this section.</w:t>
      </w:r>
    </w:p>
    <w:p w14:paraId="4BC64AE2" w14:textId="77777777" w:rsidR="00B2454D" w:rsidRPr="00AD4A26" w:rsidRDefault="00B2454D" w:rsidP="00B2454D">
      <w:pPr>
        <w:pStyle w:val="NoSpacing"/>
        <w:spacing w:line="276" w:lineRule="auto"/>
        <w:jc w:val="both"/>
      </w:pPr>
    </w:p>
    <w:p w14:paraId="11339C44" w14:textId="77777777" w:rsidR="00B2454D" w:rsidRPr="00AD4A26" w:rsidRDefault="00B2454D" w:rsidP="00B2454D">
      <w:pPr>
        <w:pStyle w:val="NoSpacing"/>
        <w:spacing w:line="276" w:lineRule="auto"/>
        <w:jc w:val="both"/>
      </w:pPr>
      <w:r w:rsidRPr="00AD4A26">
        <w:t>c. In addition to any remedy provided in the “Franchise Practices Act,” any term or condition included in a franchise, or in any lease or agreement ancillary or collateral to a franchise, in violation of this section may be revoked by the motor vehicle franchisee by written notice to the motor vehicle franchisor within 60 days of the motor vehicle franchisee's receipt of the fully executed franchise, lease or agreement. This revocation shall not otherwise affect the validity, effectiveness or enforceability of the franchise, lease or agreement.</w:t>
      </w:r>
    </w:p>
    <w:p w14:paraId="03FEA038" w14:textId="77777777" w:rsidR="00EC1A6A" w:rsidRPr="00AD4A26" w:rsidRDefault="00EC1A6A" w:rsidP="00EC1A6A">
      <w:pPr>
        <w:pStyle w:val="NoSpacing"/>
        <w:jc w:val="both"/>
      </w:pPr>
    </w:p>
    <w:p w14:paraId="5A552AB5" w14:textId="77777777" w:rsidR="009021C2" w:rsidRPr="00AD4A26" w:rsidRDefault="009021C2" w:rsidP="009021C2">
      <w:pPr>
        <w:jc w:val="both"/>
      </w:pPr>
    </w:p>
    <w:sectPr w:rsidR="009021C2" w:rsidRPr="00AD4A26" w:rsidSect="00C37B5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67EA" w14:textId="77777777" w:rsidR="002D1F46" w:rsidRDefault="002D1F46" w:rsidP="00EC1A6A">
      <w:r>
        <w:separator/>
      </w:r>
    </w:p>
  </w:endnote>
  <w:endnote w:type="continuationSeparator" w:id="0">
    <w:p w14:paraId="7B1F1751" w14:textId="77777777" w:rsidR="002D1F46" w:rsidRDefault="002D1F46" w:rsidP="00EC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1CF" w14:textId="77777777" w:rsidR="002B296A" w:rsidRPr="00E20591" w:rsidRDefault="002B296A" w:rsidP="002B296A">
    <w:pPr>
      <w:pStyle w:val="Footer"/>
      <w:jc w:val="center"/>
      <w:rPr>
        <w:sz w:val="20"/>
        <w:szCs w:val="20"/>
      </w:rPr>
    </w:pPr>
    <w:r>
      <w:rPr>
        <w:sz w:val="20"/>
        <w:szCs w:val="20"/>
      </w:rPr>
      <w:t xml:space="preserve">New Jersey </w:t>
    </w:r>
    <w:r w:rsidRPr="00E20591">
      <w:rPr>
        <w:sz w:val="20"/>
        <w:szCs w:val="20"/>
      </w:rPr>
      <w:t xml:space="preserve">Franchise Practices Act – </w:t>
    </w:r>
    <w:r>
      <w:rPr>
        <w:sz w:val="20"/>
        <w:szCs w:val="20"/>
      </w:rPr>
      <w:t xml:space="preserve">Revised </w:t>
    </w:r>
    <w:r w:rsidRPr="00E20591">
      <w:rPr>
        <w:sz w:val="20"/>
        <w:szCs w:val="20"/>
      </w:rPr>
      <w:t>Draft Tentative Report –</w:t>
    </w:r>
    <w:r>
      <w:rPr>
        <w:sz w:val="20"/>
        <w:szCs w:val="20"/>
      </w:rPr>
      <w:t xml:space="preserve"> July 10, 2017 – Page</w:t>
    </w:r>
    <w:r w:rsidRPr="00E20591">
      <w:rPr>
        <w:sz w:val="20"/>
        <w:szCs w:val="20"/>
      </w:rPr>
      <w:t xml:space="preserve"> </w:t>
    </w:r>
    <w:r w:rsidRPr="00E20591">
      <w:rPr>
        <w:sz w:val="20"/>
        <w:szCs w:val="20"/>
      </w:rPr>
      <w:fldChar w:fldCharType="begin"/>
    </w:r>
    <w:r w:rsidRPr="00E20591">
      <w:rPr>
        <w:sz w:val="20"/>
        <w:szCs w:val="20"/>
      </w:rPr>
      <w:instrText xml:space="preserve"> PAGE   \* MERGEFORMAT </w:instrText>
    </w:r>
    <w:r w:rsidRPr="00E20591">
      <w:rPr>
        <w:sz w:val="20"/>
        <w:szCs w:val="20"/>
      </w:rPr>
      <w:fldChar w:fldCharType="separate"/>
    </w:r>
    <w:r w:rsidR="00C47263">
      <w:rPr>
        <w:noProof/>
        <w:sz w:val="20"/>
        <w:szCs w:val="20"/>
      </w:rPr>
      <w:t>9</w:t>
    </w:r>
    <w:r w:rsidRPr="00E20591">
      <w:rPr>
        <w:noProof/>
        <w:sz w:val="20"/>
        <w:szCs w:val="20"/>
      </w:rPr>
      <w:fldChar w:fldCharType="end"/>
    </w:r>
  </w:p>
  <w:p w14:paraId="60C765C6" w14:textId="77777777" w:rsidR="002B296A" w:rsidRDefault="002B2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0D6F4" w14:textId="77777777" w:rsidR="002D1F46" w:rsidRDefault="002D1F46" w:rsidP="00EC1A6A">
      <w:r>
        <w:separator/>
      </w:r>
    </w:p>
  </w:footnote>
  <w:footnote w:type="continuationSeparator" w:id="0">
    <w:p w14:paraId="456D76B2" w14:textId="77777777" w:rsidR="002D1F46" w:rsidRDefault="002D1F46" w:rsidP="00EC1A6A">
      <w:r>
        <w:continuationSeparator/>
      </w:r>
    </w:p>
  </w:footnote>
  <w:footnote w:id="1">
    <w:p w14:paraId="0241B8BE" w14:textId="77777777" w:rsidR="002B296A" w:rsidRPr="00101019" w:rsidRDefault="002B296A" w:rsidP="005C5C01">
      <w:pPr>
        <w:pStyle w:val="FootnoteText"/>
      </w:pPr>
      <w:r w:rsidRPr="009F70F7">
        <w:rPr>
          <w:rStyle w:val="FootnoteReference"/>
        </w:rPr>
        <w:footnoteRef/>
      </w:r>
      <w:r w:rsidRPr="009F70F7">
        <w:t xml:space="preserve"> </w:t>
      </w:r>
      <w:r w:rsidRPr="009F70F7">
        <w:rPr>
          <w:smallCaps/>
        </w:rPr>
        <w:t>NJ. Stat. Ann.</w:t>
      </w:r>
      <w:r w:rsidRPr="009F70F7">
        <w:t xml:space="preserve">  </w:t>
      </w:r>
      <w:r w:rsidRPr="00A83B90">
        <w:rPr>
          <w:sz w:val="24"/>
          <w:szCs w:val="24"/>
        </w:rPr>
        <w:t>§§</w:t>
      </w:r>
      <w:r>
        <w:rPr>
          <w:sz w:val="24"/>
          <w:szCs w:val="24"/>
        </w:rPr>
        <w:t xml:space="preserve"> </w:t>
      </w:r>
      <w:r w:rsidRPr="009F70F7">
        <w:t xml:space="preserve">56:10–1 to -15 (West 2017); </w:t>
      </w:r>
      <w:proofErr w:type="spellStart"/>
      <w:r w:rsidRPr="009F70F7">
        <w:rPr>
          <w:rFonts w:eastAsia="Times New Roman"/>
          <w:i/>
        </w:rPr>
        <w:t>Kubis</w:t>
      </w:r>
      <w:proofErr w:type="spellEnd"/>
      <w:r w:rsidRPr="009F70F7">
        <w:rPr>
          <w:rFonts w:eastAsia="Times New Roman"/>
          <w:i/>
        </w:rPr>
        <w:t xml:space="preserve"> &amp; </w:t>
      </w:r>
      <w:proofErr w:type="spellStart"/>
      <w:r w:rsidRPr="009F70F7">
        <w:rPr>
          <w:rFonts w:eastAsia="Times New Roman"/>
          <w:i/>
        </w:rPr>
        <w:t>Perszyk</w:t>
      </w:r>
      <w:proofErr w:type="spellEnd"/>
      <w:r w:rsidRPr="009F70F7">
        <w:rPr>
          <w:rFonts w:eastAsia="Times New Roman"/>
          <w:i/>
        </w:rPr>
        <w:t xml:space="preserve"> Associates, Inc. v. Sun Microsystems, Inc</w:t>
      </w:r>
      <w:r w:rsidRPr="009F70F7">
        <w:rPr>
          <w:rFonts w:eastAsia="Times New Roman"/>
        </w:rPr>
        <w:t>., 146 N.J. 176, 195</w:t>
      </w:r>
      <w:r>
        <w:rPr>
          <w:rFonts w:eastAsia="Times New Roman"/>
        </w:rPr>
        <w:t xml:space="preserve"> (1996); </w:t>
      </w:r>
      <w:r>
        <w:rPr>
          <w:rFonts w:eastAsia="Times New Roman"/>
          <w:i/>
        </w:rPr>
        <w:t xml:space="preserve">see </w:t>
      </w:r>
      <w:r w:rsidRPr="00C977C0">
        <w:t>W. Michael Garner, 1 Franchise &amp; Distribution Law &amp; Practice § 5:29 (last updated September 201</w:t>
      </w:r>
      <w:r>
        <w:t>6</w:t>
      </w:r>
      <w:r w:rsidRPr="00C977C0">
        <w:t>).</w:t>
      </w:r>
    </w:p>
  </w:footnote>
  <w:footnote w:id="2">
    <w:p w14:paraId="2E58F165" w14:textId="77777777" w:rsidR="002B296A" w:rsidRPr="00C977C0" w:rsidRDefault="002B296A" w:rsidP="00101019">
      <w:pPr>
        <w:pStyle w:val="FootnoteText"/>
      </w:pPr>
      <w:r w:rsidRPr="00C977C0">
        <w:rPr>
          <w:rStyle w:val="FootnoteReference"/>
        </w:rPr>
        <w:footnoteRef/>
      </w:r>
      <w:r w:rsidRPr="00C977C0">
        <w:t xml:space="preserve"> David J. Kaufman, </w:t>
      </w:r>
      <w:r>
        <w:t>Esq.,</w:t>
      </w:r>
      <w:r w:rsidRPr="00C977C0">
        <w:t xml:space="preserve"> Kaufmann </w:t>
      </w:r>
      <w:proofErr w:type="spellStart"/>
      <w:r w:rsidRPr="00C977C0">
        <w:t>Gildin</w:t>
      </w:r>
      <w:proofErr w:type="spellEnd"/>
      <w:r w:rsidRPr="00C977C0">
        <w:t xml:space="preserve"> Robbins &amp; Oppenheim LLP, </w:t>
      </w:r>
      <w:r w:rsidRPr="00C977C0">
        <w:rPr>
          <w:i/>
        </w:rPr>
        <w:t>An Overview of the Business and Law of Franchising</w:t>
      </w:r>
      <w:r w:rsidRPr="00C977C0">
        <w:t xml:space="preserve">, </w:t>
      </w:r>
      <w:proofErr w:type="spellStart"/>
      <w:r w:rsidRPr="00C977C0">
        <w:rPr>
          <w:smallCaps/>
        </w:rPr>
        <w:t>Aspatore</w:t>
      </w:r>
      <w:proofErr w:type="spellEnd"/>
      <w:r w:rsidRPr="00C977C0">
        <w:t xml:space="preserve">, June 2013, </w:t>
      </w:r>
      <w:r w:rsidRPr="00C977C0">
        <w:rPr>
          <w:i/>
        </w:rPr>
        <w:t>available at</w:t>
      </w:r>
      <w:r w:rsidRPr="00C977C0">
        <w:t xml:space="preserve"> 2013 WL 3773409</w:t>
      </w:r>
      <w:r w:rsidR="00AA019A">
        <w:t xml:space="preserve"> at</w:t>
      </w:r>
      <w:r w:rsidRPr="00C977C0">
        <w:t xml:space="preserve"> *7 (citing laws in Alaska, Arkansas, California, Connecticut, Delaware, Hawaii, Illinois, Indiana, Iowa, Michigan, Minnesota, Mississippi, Missouri, Nebraska, New Jersey, Rhode Island</w:t>
      </w:r>
      <w:r>
        <w:t xml:space="preserve">, South Dakota, Utah, Virginia, Washington, </w:t>
      </w:r>
      <w:r w:rsidRPr="00C977C0">
        <w:t>Wisconsin, District of Columbia, Puerto Rico, and the US Virgin Islands).</w:t>
      </w:r>
    </w:p>
  </w:footnote>
  <w:footnote w:id="3">
    <w:p w14:paraId="25317527" w14:textId="77777777" w:rsidR="002B296A" w:rsidRPr="00C977C0" w:rsidRDefault="002B296A" w:rsidP="00EC1A6A">
      <w:pPr>
        <w:pStyle w:val="FootnoteText"/>
      </w:pPr>
      <w:r w:rsidRPr="00C977C0">
        <w:rPr>
          <w:rStyle w:val="FootnoteReference"/>
        </w:rPr>
        <w:footnoteRef/>
      </w:r>
      <w:r w:rsidRPr="00C977C0">
        <w:t xml:space="preserve"> </w:t>
      </w:r>
      <w:r>
        <w:rPr>
          <w:i/>
        </w:rPr>
        <w:t>See id</w:t>
      </w:r>
      <w:r>
        <w:t xml:space="preserve">; </w:t>
      </w:r>
      <w:r w:rsidRPr="00C37B52">
        <w:rPr>
          <w:smallCaps/>
        </w:rPr>
        <w:t>N.J. Stat. Ann</w:t>
      </w:r>
      <w:r w:rsidRPr="00C977C0">
        <w:t xml:space="preserve"> 56:10-2</w:t>
      </w:r>
      <w:r w:rsidR="00AD4A26">
        <w:t xml:space="preserve"> (West 2017</w:t>
      </w:r>
      <w:r>
        <w:t>)</w:t>
      </w:r>
      <w:r w:rsidRPr="00C977C0">
        <w:t>.</w:t>
      </w:r>
    </w:p>
  </w:footnote>
  <w:footnote w:id="4">
    <w:p w14:paraId="75683241" w14:textId="77777777" w:rsidR="002B296A" w:rsidRPr="00AD4A26" w:rsidRDefault="002B296A" w:rsidP="00AD4A26">
      <w:pPr>
        <w:pStyle w:val="FootnoteText"/>
      </w:pPr>
      <w:r w:rsidRPr="00C977C0">
        <w:rPr>
          <w:rStyle w:val="FootnoteReference"/>
        </w:rPr>
        <w:footnoteRef/>
      </w:r>
      <w:r>
        <w:t xml:space="preserve"> </w:t>
      </w:r>
      <w:r w:rsidRPr="00AD4A26">
        <w:t xml:space="preserve">Kaufman, </w:t>
      </w:r>
      <w:r w:rsidRPr="00AD4A26">
        <w:rPr>
          <w:i/>
        </w:rPr>
        <w:t>supra</w:t>
      </w:r>
      <w:r w:rsidRPr="00AD4A26">
        <w:t xml:space="preserve"> note 2.</w:t>
      </w:r>
    </w:p>
  </w:footnote>
  <w:footnote w:id="5">
    <w:p w14:paraId="395CE6B1" w14:textId="77777777" w:rsidR="002B296A" w:rsidRPr="00AD4A26" w:rsidRDefault="002B296A" w:rsidP="00AD4A26">
      <w:pPr>
        <w:pStyle w:val="FootnoteText"/>
      </w:pPr>
      <w:r w:rsidRPr="00AD4A26">
        <w:rPr>
          <w:rStyle w:val="FootnoteReference"/>
        </w:rPr>
        <w:footnoteRef/>
      </w:r>
      <w:r w:rsidRPr="00AD4A26">
        <w:t xml:space="preserve"> </w:t>
      </w:r>
      <w:r w:rsidRPr="00AD4A26">
        <w:rPr>
          <w:i/>
        </w:rPr>
        <w:t>See</w:t>
      </w:r>
      <w:r w:rsidRPr="00AD4A26">
        <w:t xml:space="preserve"> P.L. 1971, c. 356. </w:t>
      </w:r>
    </w:p>
  </w:footnote>
  <w:footnote w:id="6">
    <w:p w14:paraId="3C0AF08A" w14:textId="77777777" w:rsidR="00AD4A26" w:rsidRPr="00AD4A26" w:rsidRDefault="00AD4A26" w:rsidP="00AD4A26">
      <w:pPr>
        <w:pStyle w:val="FootnoteText"/>
      </w:pPr>
      <w:r w:rsidRPr="00AD4A26">
        <w:rPr>
          <w:rStyle w:val="FootnoteReference"/>
        </w:rPr>
        <w:footnoteRef/>
      </w:r>
      <w:r w:rsidRPr="00AD4A26">
        <w:t xml:space="preserve"> </w:t>
      </w:r>
      <w:r w:rsidRPr="00AD4A26">
        <w:rPr>
          <w:smallCaps/>
        </w:rPr>
        <w:t>NJ. Stat. Ann.</w:t>
      </w:r>
      <w:r w:rsidRPr="00AD4A26">
        <w:t xml:space="preserve"> § 56:10–1 (West 2017).</w:t>
      </w:r>
    </w:p>
  </w:footnote>
  <w:footnote w:id="7">
    <w:p w14:paraId="0ABAA89D" w14:textId="77777777" w:rsidR="002B296A" w:rsidRPr="00AD4A26" w:rsidRDefault="002B296A" w:rsidP="00AD4A26">
      <w:pPr>
        <w:pStyle w:val="FootnoteText"/>
      </w:pPr>
      <w:r w:rsidRPr="00AD4A26">
        <w:rPr>
          <w:rStyle w:val="FootnoteReference"/>
        </w:rPr>
        <w:footnoteRef/>
      </w:r>
      <w:r w:rsidRPr="00AD4A26">
        <w:t xml:space="preserve"> P.L. 2009, c. 235.</w:t>
      </w:r>
    </w:p>
  </w:footnote>
  <w:footnote w:id="8">
    <w:p w14:paraId="35E357A4" w14:textId="77777777" w:rsidR="002B296A" w:rsidRPr="00D71AFD" w:rsidRDefault="002B296A" w:rsidP="00AD4A26">
      <w:pPr>
        <w:pStyle w:val="FootnoteText"/>
      </w:pPr>
      <w:r w:rsidRPr="00AD4A26">
        <w:rPr>
          <w:rStyle w:val="FootnoteReference"/>
        </w:rPr>
        <w:footnoteRef/>
      </w:r>
      <w:r w:rsidRPr="00AD4A26">
        <w:t xml:space="preserve"> A.B. 2491, 213 Leg., 2d. Ann. Sess.</w:t>
      </w:r>
      <w:r w:rsidR="005C606C" w:rsidRPr="00AD4A26">
        <w:t xml:space="preserve"> </w:t>
      </w:r>
      <w:r w:rsidR="005C606C" w:rsidRPr="00AD4A26">
        <w:rPr>
          <w:i/>
        </w:rPr>
        <w:t>(</w:t>
      </w:r>
      <w:r w:rsidR="005C606C" w:rsidRPr="00AD4A26">
        <w:t xml:space="preserve">N.J. 2010) </w:t>
      </w:r>
      <w:r w:rsidR="001B12A4" w:rsidRPr="00AD4A26">
        <w:t>(</w:t>
      </w:r>
      <w:r w:rsidR="005C606C" w:rsidRPr="00AD4A26">
        <w:t xml:space="preserve">Asm. Joseph </w:t>
      </w:r>
      <w:proofErr w:type="spellStart"/>
      <w:r w:rsidR="005C606C" w:rsidRPr="00AD4A26">
        <w:t>Cryan</w:t>
      </w:r>
      <w:proofErr w:type="spellEnd"/>
      <w:r w:rsidR="005C606C" w:rsidRPr="00AD4A26">
        <w:t xml:space="preserve">, sponsor statement </w:t>
      </w:r>
      <w:r w:rsidRPr="00AD4A26">
        <w:t xml:space="preserve">to </w:t>
      </w:r>
      <w:r w:rsidR="005A30AD" w:rsidRPr="00AD4A26">
        <w:t>the N</w:t>
      </w:r>
      <w:r w:rsidR="009A1478">
        <w:t>.</w:t>
      </w:r>
      <w:r w:rsidR="005A30AD" w:rsidRPr="00AD4A26">
        <w:t>J</w:t>
      </w:r>
      <w:r w:rsidR="009A1478">
        <w:t>.</w:t>
      </w:r>
      <w:r w:rsidR="005A30AD" w:rsidRPr="00AD4A26">
        <w:t xml:space="preserve"> </w:t>
      </w:r>
      <w:r w:rsidRPr="00AD4A26">
        <w:t xml:space="preserve">Assembly </w:t>
      </w:r>
      <w:r w:rsidR="005C606C" w:rsidRPr="00AD4A26">
        <w:t>offering</w:t>
      </w:r>
      <w:r w:rsidRPr="00AD4A26">
        <w:t xml:space="preserve"> </w:t>
      </w:r>
      <w:r w:rsidR="005C606C" w:rsidRPr="00AD4A26">
        <w:t>floor a</w:t>
      </w:r>
      <w:r w:rsidRPr="00AD4A26">
        <w:t>mendments</w:t>
      </w:r>
      <w:r w:rsidR="005C606C">
        <w:t>).</w:t>
      </w:r>
      <w:r w:rsidRPr="001B12A4">
        <w:t xml:space="preserve"> </w:t>
      </w:r>
    </w:p>
  </w:footnote>
  <w:footnote w:id="9">
    <w:p w14:paraId="6DA608CA" w14:textId="77777777" w:rsidR="002B296A" w:rsidRPr="00C977C0" w:rsidRDefault="002B296A" w:rsidP="003D37F7">
      <w:pPr>
        <w:pStyle w:val="FootnoteText"/>
      </w:pPr>
      <w:r w:rsidRPr="00C977C0">
        <w:rPr>
          <w:rStyle w:val="FootnoteReference"/>
        </w:rPr>
        <w:footnoteRef/>
      </w:r>
      <w:r w:rsidRPr="00C977C0">
        <w:t xml:space="preserve"> A.B. 2491, 213 Leg., 2d. Ann. Sess.</w:t>
      </w:r>
      <w:r w:rsidR="005C606C">
        <w:t xml:space="preserve"> </w:t>
      </w:r>
      <w:r w:rsidRPr="00C977C0">
        <w:t>(N.J. 2010</w:t>
      </w:r>
      <w:proofErr w:type="gramStart"/>
      <w:r w:rsidRPr="00C977C0">
        <w:t>)</w:t>
      </w:r>
      <w:r w:rsidR="005A30AD">
        <w:t>(</w:t>
      </w:r>
      <w:proofErr w:type="gramEnd"/>
      <w:r w:rsidR="005C606C">
        <w:t xml:space="preserve">Asm. Joseph </w:t>
      </w:r>
      <w:proofErr w:type="spellStart"/>
      <w:r w:rsidR="005C606C">
        <w:t>Cryan</w:t>
      </w:r>
      <w:proofErr w:type="spellEnd"/>
      <w:r w:rsidR="005C606C">
        <w:t xml:space="preserve">, sponsor statement </w:t>
      </w:r>
      <w:r w:rsidR="005C606C" w:rsidRPr="001B12A4">
        <w:t xml:space="preserve">to the </w:t>
      </w:r>
      <w:r w:rsidR="005A30AD">
        <w:t>N</w:t>
      </w:r>
      <w:r w:rsidR="00B324AE">
        <w:t>.</w:t>
      </w:r>
      <w:r w:rsidR="005A30AD">
        <w:t>J</w:t>
      </w:r>
      <w:r w:rsidR="00B324AE">
        <w:t>.</w:t>
      </w:r>
      <w:r w:rsidR="005A30AD">
        <w:t xml:space="preserve"> </w:t>
      </w:r>
      <w:r w:rsidR="005C606C" w:rsidRPr="001B12A4">
        <w:t>Assembly</w:t>
      </w:r>
      <w:r w:rsidR="005A30AD">
        <w:t>)</w:t>
      </w:r>
      <w:r w:rsidRPr="00C977C0">
        <w:t>; S.B. 1539, 213 Leg., 2d. Ann. Sess</w:t>
      </w:r>
      <w:proofErr w:type="gramStart"/>
      <w:r w:rsidRPr="00C977C0">
        <w:t>.(</w:t>
      </w:r>
      <w:proofErr w:type="gramEnd"/>
      <w:r w:rsidRPr="00C977C0">
        <w:t>N.J. 2010)</w:t>
      </w:r>
      <w:r w:rsidR="005A30AD">
        <w:t>(Sen. Bob Smith, sponsor statement to the N</w:t>
      </w:r>
      <w:r w:rsidR="00B324AE">
        <w:t>.</w:t>
      </w:r>
      <w:r w:rsidR="005A30AD">
        <w:t>J</w:t>
      </w:r>
      <w:r w:rsidR="00B324AE">
        <w:t>.</w:t>
      </w:r>
      <w:r w:rsidR="005A30AD">
        <w:t xml:space="preserve"> Senate).</w:t>
      </w:r>
    </w:p>
  </w:footnote>
  <w:footnote w:id="10">
    <w:p w14:paraId="15AC21E6" w14:textId="77777777" w:rsidR="002B296A" w:rsidRDefault="002B296A">
      <w:pPr>
        <w:pStyle w:val="FootnoteText"/>
      </w:pPr>
      <w:r>
        <w:rPr>
          <w:rStyle w:val="FootnoteReference"/>
        </w:rPr>
        <w:footnoteRef/>
      </w:r>
      <w:r>
        <w:t xml:space="preserve"> </w:t>
      </w:r>
      <w:r w:rsidRPr="003D37F7">
        <w:rPr>
          <w:i/>
        </w:rPr>
        <w:t>Tynan v. General Motors Corp.</w:t>
      </w:r>
      <w:r>
        <w:rPr>
          <w:i/>
        </w:rPr>
        <w:t xml:space="preserve">, </w:t>
      </w:r>
      <w:r w:rsidRPr="003D37F7">
        <w:t xml:space="preserve">127 N.J. 269 (1992), </w:t>
      </w:r>
      <w:proofErr w:type="spellStart"/>
      <w:r w:rsidRPr="003D37F7">
        <w:rPr>
          <w:i/>
        </w:rPr>
        <w:t>rev’g</w:t>
      </w:r>
      <w:proofErr w:type="spellEnd"/>
      <w:r w:rsidRPr="003D37F7">
        <w:rPr>
          <w:i/>
        </w:rPr>
        <w:t xml:space="preserve"> in part</w:t>
      </w:r>
      <w:r w:rsidRPr="003D37F7">
        <w:t>, 248 N.J. Super. 654, 656 (App. Div. 1991).</w:t>
      </w:r>
    </w:p>
  </w:footnote>
  <w:footnote w:id="11">
    <w:p w14:paraId="079D396B" w14:textId="77777777" w:rsidR="002B296A" w:rsidRDefault="002B296A" w:rsidP="004D167F">
      <w:pPr>
        <w:pStyle w:val="FootnoteText"/>
      </w:pPr>
      <w:r>
        <w:rPr>
          <w:rStyle w:val="FootnoteReference"/>
        </w:rPr>
        <w:footnoteRef/>
      </w:r>
      <w:r w:rsidR="005A30AD">
        <w:rPr>
          <w:i/>
        </w:rPr>
        <w:t>Id.</w:t>
      </w:r>
      <w:r>
        <w:t xml:space="preserve">, </w:t>
      </w:r>
      <w:r w:rsidRPr="003D37F7">
        <w:t>248 N.J. Super. 654, 6</w:t>
      </w:r>
      <w:r>
        <w:t>75</w:t>
      </w:r>
      <w:r w:rsidRPr="003D37F7">
        <w:t xml:space="preserve"> (App. Div. 1991)</w:t>
      </w:r>
      <w:r>
        <w:t xml:space="preserve"> (noting plaintiff’s initial claim was denied due to lack of standing)</w:t>
      </w:r>
      <w:r w:rsidRPr="003D37F7">
        <w:t>.</w:t>
      </w:r>
    </w:p>
  </w:footnote>
  <w:footnote w:id="12">
    <w:p w14:paraId="35B06E93" w14:textId="77777777" w:rsidR="002B296A" w:rsidRDefault="002B296A">
      <w:pPr>
        <w:pStyle w:val="FootnoteText"/>
      </w:pPr>
      <w:r>
        <w:rPr>
          <w:rStyle w:val="FootnoteReference"/>
        </w:rPr>
        <w:footnoteRef/>
      </w:r>
      <w:r>
        <w:t xml:space="preserve"> </w:t>
      </w:r>
      <w:r w:rsidRPr="004D167F">
        <w:rPr>
          <w:i/>
        </w:rPr>
        <w:t>Id</w:t>
      </w:r>
      <w:r>
        <w:t>.</w:t>
      </w:r>
    </w:p>
  </w:footnote>
  <w:footnote w:id="13">
    <w:p w14:paraId="4C8ED9CA" w14:textId="77777777" w:rsidR="002B296A" w:rsidRPr="00102DB3" w:rsidRDefault="002B296A">
      <w:pPr>
        <w:pStyle w:val="FootnoteText"/>
      </w:pPr>
      <w:r w:rsidRPr="00102DB3">
        <w:rPr>
          <w:rStyle w:val="FootnoteReference"/>
        </w:rPr>
        <w:footnoteRef/>
      </w:r>
      <w:r w:rsidRPr="00102DB3">
        <w:t xml:space="preserve"> </w:t>
      </w:r>
      <w:r w:rsidRPr="00102DB3">
        <w:rPr>
          <w:i/>
        </w:rPr>
        <w:t>Id</w:t>
      </w:r>
      <w:r w:rsidRPr="00102DB3">
        <w:t>.</w:t>
      </w:r>
    </w:p>
  </w:footnote>
  <w:footnote w:id="14">
    <w:p w14:paraId="1F45F2CD" w14:textId="77777777" w:rsidR="002B296A" w:rsidRPr="00102DB3" w:rsidRDefault="002B296A">
      <w:pPr>
        <w:pStyle w:val="FootnoteText"/>
      </w:pPr>
      <w:r w:rsidRPr="00102DB3">
        <w:rPr>
          <w:rStyle w:val="FootnoteReference"/>
        </w:rPr>
        <w:footnoteRef/>
      </w:r>
      <w:r w:rsidRPr="00102DB3">
        <w:t xml:space="preserve"> </w:t>
      </w:r>
      <w:r w:rsidRPr="00102DB3">
        <w:rPr>
          <w:i/>
        </w:rPr>
        <w:t>Id</w:t>
      </w:r>
      <w:r w:rsidRPr="00102DB3">
        <w:t>.</w:t>
      </w:r>
    </w:p>
  </w:footnote>
  <w:footnote w:id="15">
    <w:p w14:paraId="598062D6" w14:textId="77777777" w:rsidR="002B296A" w:rsidRPr="00102DB3" w:rsidRDefault="002B296A">
      <w:pPr>
        <w:pStyle w:val="FootnoteText"/>
      </w:pPr>
      <w:r w:rsidRPr="00102DB3">
        <w:rPr>
          <w:rStyle w:val="FootnoteReference"/>
        </w:rPr>
        <w:footnoteRef/>
      </w:r>
      <w:r w:rsidRPr="00102DB3">
        <w:t xml:space="preserve"> </w:t>
      </w:r>
      <w:r w:rsidRPr="00102DB3">
        <w:rPr>
          <w:i/>
        </w:rPr>
        <w:t>Id</w:t>
      </w:r>
      <w:r w:rsidRPr="00102DB3">
        <w:t>.</w:t>
      </w:r>
    </w:p>
  </w:footnote>
  <w:footnote w:id="16">
    <w:p w14:paraId="2D5C86B5" w14:textId="77777777" w:rsidR="002B296A" w:rsidRPr="00102DB3" w:rsidRDefault="002B296A" w:rsidP="004D167F">
      <w:pPr>
        <w:pStyle w:val="FootnoteText"/>
      </w:pPr>
      <w:r w:rsidRPr="00102DB3">
        <w:rPr>
          <w:rStyle w:val="FootnoteReference"/>
        </w:rPr>
        <w:footnoteRef/>
      </w:r>
      <w:r w:rsidRPr="00102DB3">
        <w:t xml:space="preserve"> </w:t>
      </w:r>
      <w:r w:rsidRPr="00102DB3">
        <w:rPr>
          <w:i/>
        </w:rPr>
        <w:t>Id</w:t>
      </w:r>
      <w:r w:rsidRPr="00102DB3">
        <w:t>.</w:t>
      </w:r>
    </w:p>
  </w:footnote>
  <w:footnote w:id="17">
    <w:p w14:paraId="51A894DC" w14:textId="61000CD4" w:rsidR="002B296A" w:rsidRPr="00102DB3" w:rsidRDefault="002B296A">
      <w:pPr>
        <w:pStyle w:val="FootnoteText"/>
      </w:pPr>
      <w:r w:rsidRPr="00102DB3">
        <w:rPr>
          <w:rStyle w:val="FootnoteReference"/>
        </w:rPr>
        <w:footnoteRef/>
      </w:r>
      <w:r w:rsidRPr="00102DB3">
        <w:t xml:space="preserve"> </w:t>
      </w:r>
      <w:r w:rsidRPr="007073B8">
        <w:t>127 N.J. 269 (1992</w:t>
      </w:r>
      <w:proofErr w:type="gramStart"/>
      <w:r w:rsidRPr="007073B8">
        <w:t>)</w:t>
      </w:r>
      <w:r w:rsidR="007073B8" w:rsidRPr="007073B8">
        <w:t xml:space="preserve"> </w:t>
      </w:r>
      <w:r w:rsidR="007073B8" w:rsidRPr="007073B8">
        <w:rPr>
          <w:i/>
        </w:rPr>
        <w:t xml:space="preserve"> see</w:t>
      </w:r>
      <w:proofErr w:type="gramEnd"/>
      <w:r w:rsidR="007073B8" w:rsidRPr="007073B8">
        <w:rPr>
          <w:i/>
        </w:rPr>
        <w:t xml:space="preserve"> also</w:t>
      </w:r>
      <w:r w:rsidR="007073B8">
        <w:rPr>
          <w:i/>
        </w:rPr>
        <w:t xml:space="preserve"> </w:t>
      </w:r>
      <w:r w:rsidR="007073B8" w:rsidRPr="00C977C0">
        <w:rPr>
          <w:i/>
        </w:rPr>
        <w:t>Allen v. World Inspection Network Int’l, Inc.</w:t>
      </w:r>
      <w:r w:rsidR="007073B8" w:rsidRPr="00C977C0">
        <w:t>, 389 N.J.</w:t>
      </w:r>
      <w:r w:rsidR="007073B8">
        <w:t xml:space="preserve"> Super 115, 128-9 (App. Div. 2006).</w:t>
      </w:r>
      <w:r w:rsidR="007073B8" w:rsidRPr="007073B8">
        <w:rPr>
          <w:i/>
        </w:rPr>
        <w:t xml:space="preserve">  </w:t>
      </w:r>
      <w:r w:rsidR="007073B8" w:rsidRPr="007073B8">
        <w:t>(</w:t>
      </w:r>
      <w:proofErr w:type="gramStart"/>
      <w:r w:rsidR="007073B8" w:rsidRPr="007073B8">
        <w:t>finding</w:t>
      </w:r>
      <w:proofErr w:type="gramEnd"/>
      <w:r w:rsidR="007073B8" w:rsidRPr="007073B8">
        <w:t xml:space="preserve"> that forum-selection provisions of arbitration agreements are also considered a part of the arbitration clause, and thus “subject to the FAA.” )</w:t>
      </w:r>
      <w:r w:rsidRPr="007073B8">
        <w:t>.</w:t>
      </w:r>
    </w:p>
  </w:footnote>
  <w:footnote w:id="18">
    <w:p w14:paraId="4B63A439" w14:textId="77777777" w:rsidR="002B296A" w:rsidRPr="008F49B1" w:rsidRDefault="002B296A" w:rsidP="00D237F5">
      <w:pPr>
        <w:pStyle w:val="FootnoteText"/>
        <w:rPr>
          <w:sz w:val="40"/>
          <w:szCs w:val="40"/>
        </w:rPr>
      </w:pPr>
      <w:r w:rsidRPr="00102DB3">
        <w:rPr>
          <w:rStyle w:val="FootnoteReference"/>
        </w:rPr>
        <w:footnoteRef/>
      </w:r>
      <w:r w:rsidRPr="00102DB3">
        <w:t xml:space="preserve"> </w:t>
      </w:r>
      <w:r w:rsidRPr="00102DB3">
        <w:rPr>
          <w:i/>
          <w:iCs/>
          <w:color w:val="000000"/>
        </w:rPr>
        <w:t>Kindred Nursing, L.P. v</w:t>
      </w:r>
      <w:r w:rsidRPr="00102DB3">
        <w:rPr>
          <w:color w:val="000000"/>
        </w:rPr>
        <w:t>.</w:t>
      </w:r>
      <w:r w:rsidRPr="00102DB3">
        <w:rPr>
          <w:rStyle w:val="apple-converted-space"/>
          <w:color w:val="000000"/>
        </w:rPr>
        <w:t> </w:t>
      </w:r>
      <w:r w:rsidRPr="00102DB3">
        <w:rPr>
          <w:i/>
          <w:iCs/>
          <w:color w:val="000000"/>
        </w:rPr>
        <w:t>Clark</w:t>
      </w:r>
      <w:r w:rsidRPr="00102DB3">
        <w:rPr>
          <w:color w:val="000000"/>
        </w:rPr>
        <w:t xml:space="preserve">, </w:t>
      </w:r>
      <w:hyperlink r:id="rId1" w:anchor="co_pp_sp_708_1426" w:history="1">
        <w:r w:rsidRPr="00102DB3">
          <w:rPr>
            <w:rStyle w:val="cosearchterm"/>
            <w:color w:val="252525"/>
          </w:rPr>
          <w:t>137</w:t>
        </w:r>
        <w:r w:rsidR="005A30AD">
          <w:rPr>
            <w:rStyle w:val="cosearchterm"/>
            <w:color w:val="252525"/>
          </w:rPr>
          <w:t xml:space="preserve"> </w:t>
        </w:r>
        <w:r w:rsidRPr="00102DB3">
          <w:rPr>
            <w:rStyle w:val="cosearchterm"/>
            <w:color w:val="252525"/>
          </w:rPr>
          <w:t>S. Ct. 1421, 1426 (2017)</w:t>
        </w:r>
      </w:hyperlink>
      <w:r w:rsidRPr="00102DB3">
        <w:t>.</w:t>
      </w:r>
    </w:p>
  </w:footnote>
  <w:footnote w:id="19">
    <w:p w14:paraId="36E317F0" w14:textId="77777777" w:rsidR="00EF3D68" w:rsidRPr="00AD4A26" w:rsidRDefault="00EF3D68" w:rsidP="00EF3D68">
      <w:pPr>
        <w:rPr>
          <w:color w:val="000000" w:themeColor="text1"/>
          <w:sz w:val="20"/>
          <w:szCs w:val="20"/>
        </w:rPr>
      </w:pPr>
      <w:r w:rsidRPr="00AD4A26">
        <w:rPr>
          <w:rStyle w:val="FootnoteReference"/>
          <w:sz w:val="20"/>
          <w:szCs w:val="20"/>
        </w:rPr>
        <w:footnoteRef/>
      </w:r>
      <w:r w:rsidRPr="00AD4A26">
        <w:rPr>
          <w:sz w:val="20"/>
          <w:szCs w:val="20"/>
        </w:rPr>
        <w:t xml:space="preserve"> </w:t>
      </w:r>
      <w:r w:rsidRPr="00AD4A26">
        <w:rPr>
          <w:rFonts w:eastAsia="Times New Roman"/>
          <w:color w:val="333333"/>
          <w:sz w:val="20"/>
          <w:szCs w:val="20"/>
          <w:shd w:val="clear" w:color="auto" w:fill="FFFFFF"/>
        </w:rPr>
        <w:t xml:space="preserve">17 Am. </w:t>
      </w:r>
      <w:proofErr w:type="spellStart"/>
      <w:r w:rsidRPr="00AD4A26">
        <w:rPr>
          <w:rFonts w:eastAsia="Times New Roman"/>
          <w:color w:val="333333"/>
          <w:sz w:val="20"/>
          <w:szCs w:val="20"/>
          <w:shd w:val="clear" w:color="auto" w:fill="FFFFFF"/>
        </w:rPr>
        <w:t>Jur</w:t>
      </w:r>
      <w:proofErr w:type="spellEnd"/>
      <w:r w:rsidRPr="00AD4A26">
        <w:rPr>
          <w:rFonts w:eastAsia="Times New Roman"/>
          <w:color w:val="333333"/>
          <w:sz w:val="20"/>
          <w:szCs w:val="20"/>
          <w:shd w:val="clear" w:color="auto" w:fill="FFFFFF"/>
        </w:rPr>
        <w:t>. 2d</w:t>
      </w:r>
      <w:r w:rsidRPr="00AD4A26">
        <w:rPr>
          <w:rStyle w:val="apple-converted-space"/>
          <w:rFonts w:eastAsia="Times New Roman"/>
          <w:color w:val="333333"/>
          <w:sz w:val="20"/>
          <w:szCs w:val="20"/>
          <w:shd w:val="clear" w:color="auto" w:fill="FFFFFF"/>
        </w:rPr>
        <w:t> </w:t>
      </w:r>
      <w:r w:rsidRPr="00AD4A26">
        <w:rPr>
          <w:rStyle w:val="Emphasis"/>
          <w:rFonts w:eastAsia="Times New Roman"/>
          <w:color w:val="333333"/>
          <w:sz w:val="20"/>
          <w:szCs w:val="20"/>
          <w:shd w:val="clear" w:color="auto" w:fill="FFFFFF"/>
        </w:rPr>
        <w:t>Constitutional Law</w:t>
      </w:r>
      <w:r w:rsidRPr="00AD4A26">
        <w:rPr>
          <w:rStyle w:val="apple-converted-space"/>
          <w:rFonts w:eastAsia="Times New Roman"/>
          <w:color w:val="333333"/>
          <w:sz w:val="20"/>
          <w:szCs w:val="20"/>
          <w:shd w:val="clear" w:color="auto" w:fill="FFFFFF"/>
        </w:rPr>
        <w:t> </w:t>
      </w:r>
      <w:r w:rsidRPr="00AD4A26">
        <w:rPr>
          <w:rFonts w:eastAsia="Times New Roman"/>
          <w:color w:val="333333"/>
          <w:sz w:val="20"/>
          <w:szCs w:val="20"/>
          <w:shd w:val="clear" w:color="auto" w:fill="FFFFFF"/>
        </w:rPr>
        <w:t>§ 234 (2017).</w:t>
      </w:r>
    </w:p>
  </w:footnote>
  <w:footnote w:id="20">
    <w:p w14:paraId="489FF28D" w14:textId="55BC71A8" w:rsidR="002B296A" w:rsidRPr="00C977C0" w:rsidRDefault="002B296A" w:rsidP="002377EF">
      <w:pPr>
        <w:pStyle w:val="FootnoteText"/>
      </w:pPr>
      <w:r w:rsidRPr="00C977C0">
        <w:rPr>
          <w:rStyle w:val="FootnoteReference"/>
        </w:rPr>
        <w:footnoteRef/>
      </w:r>
      <w:r w:rsidRPr="00C977C0">
        <w:rPr>
          <w:i/>
        </w:rPr>
        <w:t xml:space="preserve"> Allied-Bruce </w:t>
      </w:r>
      <w:proofErr w:type="spellStart"/>
      <w:r w:rsidRPr="00C977C0">
        <w:rPr>
          <w:i/>
        </w:rPr>
        <w:t>Terminix</w:t>
      </w:r>
      <w:proofErr w:type="spellEnd"/>
      <w:r w:rsidRPr="00C977C0">
        <w:rPr>
          <w:i/>
        </w:rPr>
        <w:t xml:space="preserve"> Cos. v. Dobson</w:t>
      </w:r>
      <w:r w:rsidRPr="00C977C0">
        <w:t>, 513 U.S. 265, 268 (1995)</w:t>
      </w:r>
      <w:r>
        <w:t xml:space="preserve">; </w:t>
      </w:r>
      <w:r w:rsidRPr="001A7E1B">
        <w:rPr>
          <w:i/>
        </w:rPr>
        <w:t>see</w:t>
      </w:r>
      <w:r>
        <w:rPr>
          <w:i/>
        </w:rPr>
        <w:t xml:space="preserve"> </w:t>
      </w:r>
      <w:r w:rsidRPr="007073B8">
        <w:t>Allen</w:t>
      </w:r>
      <w:r w:rsidR="007073B8">
        <w:t xml:space="preserve">, </w:t>
      </w:r>
      <w:r w:rsidRPr="007073B8">
        <w:t>389</w:t>
      </w:r>
      <w:r w:rsidRPr="00C977C0">
        <w:t xml:space="preserve"> N.J.</w:t>
      </w:r>
      <w:r>
        <w:t xml:space="preserve"> Super </w:t>
      </w:r>
      <w:r w:rsidR="007073B8">
        <w:t>at 126</w:t>
      </w:r>
      <w:r>
        <w:t>.</w:t>
      </w:r>
    </w:p>
  </w:footnote>
  <w:footnote w:id="21">
    <w:p w14:paraId="3B28EEE1" w14:textId="77777777" w:rsidR="002B296A" w:rsidRPr="00AD4A26" w:rsidRDefault="002B296A" w:rsidP="002377EF">
      <w:pPr>
        <w:rPr>
          <w:sz w:val="20"/>
          <w:szCs w:val="20"/>
        </w:rPr>
      </w:pPr>
      <w:r w:rsidRPr="00AD4A26">
        <w:rPr>
          <w:rStyle w:val="FootnoteReference"/>
          <w:sz w:val="20"/>
          <w:szCs w:val="20"/>
        </w:rPr>
        <w:footnoteRef/>
      </w:r>
      <w:r w:rsidRPr="00AD4A26">
        <w:rPr>
          <w:sz w:val="20"/>
          <w:szCs w:val="20"/>
        </w:rPr>
        <w:t xml:space="preserve"> </w:t>
      </w:r>
      <w:r w:rsidRPr="00AD4A26">
        <w:rPr>
          <w:i/>
          <w:sz w:val="20"/>
          <w:szCs w:val="20"/>
        </w:rPr>
        <w:t xml:space="preserve">Alpert v. </w:t>
      </w:r>
      <w:proofErr w:type="spellStart"/>
      <w:r w:rsidRPr="00AD4A26">
        <w:rPr>
          <w:i/>
          <w:sz w:val="20"/>
          <w:szCs w:val="20"/>
        </w:rPr>
        <w:t>Alphagraphics</w:t>
      </w:r>
      <w:proofErr w:type="spellEnd"/>
      <w:r w:rsidRPr="00AD4A26">
        <w:rPr>
          <w:i/>
          <w:sz w:val="20"/>
          <w:szCs w:val="20"/>
        </w:rPr>
        <w:t xml:space="preserve"> Franchising, Inc.</w:t>
      </w:r>
      <w:r w:rsidRPr="00AD4A26">
        <w:rPr>
          <w:sz w:val="20"/>
          <w:szCs w:val="20"/>
        </w:rPr>
        <w:t xml:space="preserve">, 731 F. Supp. 685, 688 (D.N.J. 1990) (citing </w:t>
      </w:r>
      <w:r w:rsidRPr="00AD4A26">
        <w:rPr>
          <w:i/>
          <w:sz w:val="20"/>
          <w:szCs w:val="20"/>
        </w:rPr>
        <w:t>Southland Corp. v. Keating</w:t>
      </w:r>
      <w:r w:rsidRPr="00AD4A26">
        <w:rPr>
          <w:sz w:val="20"/>
          <w:szCs w:val="20"/>
        </w:rPr>
        <w:t>, 465 U.S. 1, 10 (1984)).</w:t>
      </w:r>
    </w:p>
  </w:footnote>
  <w:footnote w:id="22">
    <w:p w14:paraId="77A4018F" w14:textId="77777777" w:rsidR="006F6873" w:rsidRPr="00AD4A26" w:rsidRDefault="006F6873">
      <w:pPr>
        <w:pStyle w:val="FootnoteText"/>
        <w:rPr>
          <w:color w:val="000000" w:themeColor="text1"/>
        </w:rPr>
      </w:pPr>
      <w:r w:rsidRPr="00AD4A26">
        <w:rPr>
          <w:rStyle w:val="FootnoteReference"/>
          <w:color w:val="000000" w:themeColor="text1"/>
        </w:rPr>
        <w:footnoteRef/>
      </w:r>
      <w:r w:rsidRPr="00AD4A26">
        <w:rPr>
          <w:color w:val="000000" w:themeColor="text1"/>
        </w:rPr>
        <w:t xml:space="preserve"> </w:t>
      </w:r>
      <w:r w:rsidRPr="00AD4A26">
        <w:rPr>
          <w:i/>
          <w:iCs/>
          <w:color w:val="000000" w:themeColor="text1"/>
        </w:rPr>
        <w:t xml:space="preserve">Kindred Nursing, </w:t>
      </w:r>
      <w:r w:rsidRPr="00AD4A26">
        <w:rPr>
          <w:iCs/>
          <w:color w:val="000000" w:themeColor="text1"/>
        </w:rPr>
        <w:t xml:space="preserve">137 </w:t>
      </w:r>
      <w:proofErr w:type="spellStart"/>
      <w:r w:rsidRPr="00AD4A26">
        <w:rPr>
          <w:iCs/>
          <w:color w:val="000000" w:themeColor="text1"/>
        </w:rPr>
        <w:t>S.Ct</w:t>
      </w:r>
      <w:proofErr w:type="spellEnd"/>
      <w:r w:rsidRPr="00AD4A26">
        <w:rPr>
          <w:iCs/>
          <w:color w:val="000000" w:themeColor="text1"/>
        </w:rPr>
        <w:t>. at 1426</w:t>
      </w:r>
      <w:r w:rsidR="009F2E56" w:rsidRPr="00AD4A26">
        <w:rPr>
          <w:iCs/>
          <w:color w:val="000000" w:themeColor="text1"/>
        </w:rPr>
        <w:t>.</w:t>
      </w:r>
      <w:r w:rsidR="009F2E56" w:rsidRPr="00AD4A26">
        <w:rPr>
          <w:color w:val="000000" w:themeColor="text1"/>
        </w:rPr>
        <w:t xml:space="preserve"> </w:t>
      </w:r>
    </w:p>
  </w:footnote>
  <w:footnote w:id="23">
    <w:p w14:paraId="69DCBB1D" w14:textId="77777777" w:rsidR="00496B6C" w:rsidRPr="00AD4A26" w:rsidRDefault="00496B6C" w:rsidP="009F2E56">
      <w:pPr>
        <w:rPr>
          <w:rFonts w:eastAsia="Times New Roman"/>
          <w:color w:val="000000" w:themeColor="text1"/>
          <w:sz w:val="20"/>
          <w:szCs w:val="20"/>
        </w:rPr>
      </w:pPr>
      <w:r w:rsidRPr="00AD4A26">
        <w:rPr>
          <w:rStyle w:val="FootnoteReference"/>
          <w:sz w:val="20"/>
          <w:szCs w:val="20"/>
        </w:rPr>
        <w:footnoteRef/>
      </w:r>
      <w:r w:rsidRPr="00AD4A26">
        <w:rPr>
          <w:sz w:val="20"/>
          <w:szCs w:val="20"/>
        </w:rPr>
        <w:t xml:space="preserve"> </w:t>
      </w:r>
      <w:r w:rsidR="009F2E56" w:rsidRPr="00AD4A26">
        <w:rPr>
          <w:i/>
          <w:iCs/>
          <w:color w:val="000000" w:themeColor="text1"/>
          <w:sz w:val="20"/>
          <w:szCs w:val="20"/>
        </w:rPr>
        <w:t>Id</w:t>
      </w:r>
      <w:r w:rsidR="009F2E56" w:rsidRPr="00AD4A26">
        <w:rPr>
          <w:iCs/>
          <w:color w:val="000000" w:themeColor="text1"/>
          <w:sz w:val="20"/>
          <w:szCs w:val="20"/>
        </w:rPr>
        <w:t xml:space="preserve">., </w:t>
      </w:r>
      <w:r w:rsidR="009F2E56" w:rsidRPr="00AD4A26">
        <w:rPr>
          <w:i/>
          <w:iCs/>
          <w:color w:val="000000" w:themeColor="text1"/>
          <w:sz w:val="20"/>
          <w:szCs w:val="20"/>
        </w:rPr>
        <w:t>quoting</w:t>
      </w:r>
      <w:r w:rsidR="009F2E56" w:rsidRPr="00AD4A26">
        <w:rPr>
          <w:iCs/>
          <w:color w:val="000000" w:themeColor="text1"/>
          <w:sz w:val="20"/>
          <w:szCs w:val="20"/>
        </w:rPr>
        <w:t xml:space="preserve"> </w:t>
      </w:r>
      <w:hyperlink r:id="rId2" w:history="1">
        <w:r w:rsidR="009F2E56" w:rsidRPr="00AD4A26">
          <w:rPr>
            <w:rStyle w:val="Emphasis"/>
            <w:rFonts w:eastAsia="Times New Roman"/>
            <w:color w:val="000000" w:themeColor="text1"/>
            <w:sz w:val="20"/>
            <w:szCs w:val="20"/>
          </w:rPr>
          <w:t>AT &amp; T Mobility LLC v. Concepcion,</w:t>
        </w:r>
        <w:r w:rsidR="009F2E56" w:rsidRPr="00AD4A26">
          <w:rPr>
            <w:rStyle w:val="apple-converted-space"/>
            <w:rFonts w:eastAsia="Times New Roman"/>
            <w:color w:val="000000" w:themeColor="text1"/>
            <w:sz w:val="20"/>
            <w:szCs w:val="20"/>
          </w:rPr>
          <w:t> </w:t>
        </w:r>
        <w:r w:rsidR="009F2E56" w:rsidRPr="00AD4A26">
          <w:rPr>
            <w:rStyle w:val="Hyperlink"/>
            <w:rFonts w:eastAsia="Times New Roman"/>
            <w:color w:val="000000" w:themeColor="text1"/>
            <w:sz w:val="20"/>
            <w:szCs w:val="20"/>
            <w:u w:val="none"/>
          </w:rPr>
          <w:t>563 U.S. at 342.</w:t>
        </w:r>
      </w:hyperlink>
    </w:p>
  </w:footnote>
  <w:footnote w:id="24">
    <w:p w14:paraId="54034497" w14:textId="77777777" w:rsidR="00496B6C" w:rsidRPr="00AD4A26" w:rsidRDefault="00496B6C" w:rsidP="00AD4A26">
      <w:pPr>
        <w:rPr>
          <w:rFonts w:eastAsia="Times New Roman"/>
          <w:color w:val="000000" w:themeColor="text1"/>
          <w:sz w:val="20"/>
          <w:szCs w:val="20"/>
        </w:rPr>
      </w:pPr>
      <w:r w:rsidRPr="00AD4A26">
        <w:rPr>
          <w:rStyle w:val="FootnoteReference"/>
          <w:color w:val="000000" w:themeColor="text1"/>
          <w:sz w:val="20"/>
          <w:szCs w:val="20"/>
        </w:rPr>
        <w:footnoteRef/>
      </w:r>
      <w:r w:rsidRPr="00AD4A26">
        <w:rPr>
          <w:color w:val="000000" w:themeColor="text1"/>
          <w:sz w:val="20"/>
          <w:szCs w:val="20"/>
        </w:rPr>
        <w:t xml:space="preserve"> </w:t>
      </w:r>
      <w:r w:rsidRPr="00AD4A26">
        <w:rPr>
          <w:i/>
          <w:iCs/>
          <w:color w:val="000000" w:themeColor="text1"/>
          <w:sz w:val="20"/>
          <w:szCs w:val="20"/>
        </w:rPr>
        <w:t>Id</w:t>
      </w:r>
      <w:r w:rsidR="009F2E56" w:rsidRPr="00AD4A26">
        <w:rPr>
          <w:iCs/>
          <w:color w:val="000000" w:themeColor="text1"/>
          <w:sz w:val="20"/>
          <w:szCs w:val="20"/>
        </w:rPr>
        <w:t>.</w:t>
      </w:r>
      <w:r w:rsidRPr="00AD4A26">
        <w:rPr>
          <w:rFonts w:eastAsia="Times New Roman"/>
          <w:color w:val="000000" w:themeColor="text1"/>
          <w:sz w:val="20"/>
          <w:szCs w:val="20"/>
        </w:rPr>
        <w:t xml:space="preserve"> </w:t>
      </w:r>
    </w:p>
  </w:footnote>
  <w:footnote w:id="25">
    <w:p w14:paraId="1C6B34C4" w14:textId="77777777" w:rsidR="00496B6C" w:rsidRPr="00AD4A26" w:rsidRDefault="00496B6C" w:rsidP="00AD4A26">
      <w:pPr>
        <w:rPr>
          <w:rFonts w:eastAsia="Times New Roman"/>
          <w:sz w:val="20"/>
          <w:szCs w:val="20"/>
        </w:rPr>
      </w:pPr>
      <w:r w:rsidRPr="00AD4A26">
        <w:rPr>
          <w:rStyle w:val="FootnoteReference"/>
          <w:sz w:val="20"/>
          <w:szCs w:val="20"/>
        </w:rPr>
        <w:footnoteRef/>
      </w:r>
      <w:r w:rsidRPr="00AD4A26">
        <w:rPr>
          <w:sz w:val="20"/>
          <w:szCs w:val="20"/>
        </w:rPr>
        <w:t xml:space="preserve"> </w:t>
      </w:r>
      <w:r w:rsidR="00AD4A26" w:rsidRPr="00AD4A26">
        <w:rPr>
          <w:rFonts w:eastAsia="Times New Roman"/>
          <w:color w:val="333333"/>
          <w:sz w:val="20"/>
          <w:szCs w:val="20"/>
          <w:shd w:val="clear" w:color="auto" w:fill="FFFFFF"/>
        </w:rPr>
        <w:t xml:space="preserve">17 Am. </w:t>
      </w:r>
      <w:proofErr w:type="spellStart"/>
      <w:r w:rsidR="00AD4A26" w:rsidRPr="00AD4A26">
        <w:rPr>
          <w:rFonts w:eastAsia="Times New Roman"/>
          <w:color w:val="333333"/>
          <w:sz w:val="20"/>
          <w:szCs w:val="20"/>
          <w:shd w:val="clear" w:color="auto" w:fill="FFFFFF"/>
        </w:rPr>
        <w:t>Jur</w:t>
      </w:r>
      <w:proofErr w:type="spellEnd"/>
      <w:r w:rsidR="00AD4A26" w:rsidRPr="00AD4A26">
        <w:rPr>
          <w:rFonts w:eastAsia="Times New Roman"/>
          <w:color w:val="333333"/>
          <w:sz w:val="20"/>
          <w:szCs w:val="20"/>
          <w:shd w:val="clear" w:color="auto" w:fill="FFFFFF"/>
        </w:rPr>
        <w:t>. 2d</w:t>
      </w:r>
      <w:r w:rsidR="00AD4A26" w:rsidRPr="00AD4A26">
        <w:rPr>
          <w:rStyle w:val="apple-converted-space"/>
          <w:rFonts w:eastAsia="Times New Roman"/>
          <w:color w:val="333333"/>
          <w:sz w:val="20"/>
          <w:szCs w:val="20"/>
          <w:shd w:val="clear" w:color="auto" w:fill="FFFFFF"/>
        </w:rPr>
        <w:t> </w:t>
      </w:r>
      <w:r w:rsidR="00AD4A26" w:rsidRPr="00AD4A26">
        <w:rPr>
          <w:rStyle w:val="Emphasis"/>
          <w:rFonts w:eastAsia="Times New Roman"/>
          <w:color w:val="333333"/>
          <w:sz w:val="20"/>
          <w:szCs w:val="20"/>
          <w:shd w:val="clear" w:color="auto" w:fill="FFFFFF"/>
        </w:rPr>
        <w:t>Constitutional Law</w:t>
      </w:r>
      <w:r w:rsidR="00AD4A26" w:rsidRPr="00AD4A26">
        <w:rPr>
          <w:rStyle w:val="apple-converted-space"/>
          <w:rFonts w:eastAsia="Times New Roman"/>
          <w:color w:val="333333"/>
          <w:sz w:val="20"/>
          <w:szCs w:val="20"/>
          <w:shd w:val="clear" w:color="auto" w:fill="FFFFFF"/>
        </w:rPr>
        <w:t> </w:t>
      </w:r>
      <w:r w:rsidR="00AD4A26" w:rsidRPr="00AD4A26">
        <w:rPr>
          <w:rFonts w:eastAsia="Times New Roman"/>
          <w:color w:val="333333"/>
          <w:sz w:val="20"/>
          <w:szCs w:val="20"/>
          <w:shd w:val="clear" w:color="auto" w:fill="FFFFFF"/>
        </w:rPr>
        <w:t>§ 234 (2017).</w:t>
      </w:r>
    </w:p>
  </w:footnote>
  <w:footnote w:id="26">
    <w:p w14:paraId="53DEB1CC" w14:textId="77777777" w:rsidR="00EF3D68" w:rsidRPr="00AD4A26" w:rsidRDefault="00EF3D68" w:rsidP="00EF3D68">
      <w:pPr>
        <w:rPr>
          <w:sz w:val="20"/>
          <w:szCs w:val="20"/>
        </w:rPr>
      </w:pPr>
      <w:r w:rsidRPr="00AD4A26">
        <w:rPr>
          <w:rStyle w:val="FootnoteReference"/>
          <w:sz w:val="20"/>
          <w:szCs w:val="20"/>
        </w:rPr>
        <w:footnoteRef/>
      </w:r>
      <w:r w:rsidRPr="00AD4A26">
        <w:rPr>
          <w:sz w:val="20"/>
          <w:szCs w:val="20"/>
        </w:rPr>
        <w:t xml:space="preserve"> </w:t>
      </w:r>
      <w:r w:rsidRPr="00AD4A26">
        <w:rPr>
          <w:i/>
          <w:sz w:val="20"/>
          <w:szCs w:val="20"/>
        </w:rPr>
        <w:t xml:space="preserve">Central Jersey Freightliner, Inc. v. Freightliner Corp., </w:t>
      </w:r>
      <w:r w:rsidRPr="00AD4A26">
        <w:rPr>
          <w:sz w:val="20"/>
          <w:szCs w:val="20"/>
        </w:rPr>
        <w:t>987 F. Supp. 289, 300 (D.N.J. 1997).</w:t>
      </w:r>
    </w:p>
  </w:footnote>
  <w:footnote w:id="27">
    <w:p w14:paraId="2157C3AA" w14:textId="77777777" w:rsidR="00EF3D68" w:rsidRPr="00AD4A26" w:rsidRDefault="00EF3D68" w:rsidP="00EF3D68">
      <w:pPr>
        <w:pStyle w:val="FootnoteText"/>
        <w:rPr>
          <w:i/>
        </w:rPr>
      </w:pPr>
      <w:r w:rsidRPr="00AD4A26">
        <w:rPr>
          <w:rStyle w:val="FootnoteReference"/>
        </w:rPr>
        <w:footnoteRef/>
      </w:r>
      <w:r w:rsidRPr="00AD4A26">
        <w:t xml:space="preserve"> </w:t>
      </w:r>
      <w:r w:rsidRPr="00AD4A26">
        <w:rPr>
          <w:i/>
        </w:rPr>
        <w:t>Freightliner</w:t>
      </w:r>
      <w:r w:rsidRPr="00AD4A26">
        <w:t xml:space="preserve">, 987 F. Supp. at 300; </w:t>
      </w:r>
      <w:r w:rsidRPr="00AD4A26">
        <w:rPr>
          <w:i/>
        </w:rPr>
        <w:t xml:space="preserve">see also </w:t>
      </w:r>
      <w:r w:rsidRPr="00AD4A26">
        <w:rPr>
          <w:rFonts w:eastAsia="Times New Roman"/>
          <w:i/>
        </w:rPr>
        <w:t>Doctor's Assoc. Inc. v. Hamilton</w:t>
      </w:r>
      <w:r w:rsidRPr="00AD4A26">
        <w:rPr>
          <w:rFonts w:eastAsia="Times New Roman"/>
        </w:rPr>
        <w:t xml:space="preserve">, 150 F.3d 157, 163 (2d Cir. 1998) (“to the extent that </w:t>
      </w:r>
      <w:proofErr w:type="spellStart"/>
      <w:r w:rsidRPr="00AD4A26">
        <w:rPr>
          <w:rFonts w:eastAsia="Times New Roman"/>
          <w:i/>
          <w:iCs/>
        </w:rPr>
        <w:t>Kubis</w:t>
      </w:r>
      <w:proofErr w:type="spellEnd"/>
      <w:r w:rsidRPr="00AD4A26">
        <w:rPr>
          <w:rFonts w:eastAsia="Times New Roman"/>
        </w:rPr>
        <w:t xml:space="preserve"> can be read to invalidate arbitral forum selection clauses in franchise agreeme</w:t>
      </w:r>
      <w:r>
        <w:rPr>
          <w:rFonts w:eastAsia="Times New Roman"/>
        </w:rPr>
        <w:t>nts, it is preempted by the FAA</w:t>
      </w:r>
      <w:r w:rsidRPr="00AD4A26">
        <w:rPr>
          <w:rFonts w:eastAsia="Times New Roman"/>
        </w:rPr>
        <w:t xml:space="preserve">”); </w:t>
      </w:r>
      <w:r w:rsidRPr="00AD4A26">
        <w:rPr>
          <w:rFonts w:eastAsia="Times New Roman"/>
          <w:i/>
        </w:rPr>
        <w:t>see also</w:t>
      </w:r>
      <w:r w:rsidRPr="00AD4A26">
        <w:rPr>
          <w:i/>
        </w:rPr>
        <w:t xml:space="preserve"> See</w:t>
      </w:r>
      <w:r w:rsidRPr="00AD4A26">
        <w:t xml:space="preserve"> </w:t>
      </w:r>
      <w:r w:rsidRPr="00AD4A26">
        <w:rPr>
          <w:rFonts w:eastAsia="Times New Roman"/>
          <w:i/>
        </w:rPr>
        <w:t>B &amp; S Ltd., Inc. v. Elephant &amp; Castle Int'l, Inc.</w:t>
      </w:r>
      <w:r w:rsidRPr="00AD4A26">
        <w:rPr>
          <w:rFonts w:eastAsia="Times New Roman"/>
        </w:rPr>
        <w:t>, 388 N.J. Super. 160, 175 (Ch. Div. 2006) (“</w:t>
      </w:r>
      <w:r w:rsidRPr="00AD4A26">
        <w:rPr>
          <w:color w:val="252525"/>
        </w:rPr>
        <w:t>While the arbitral forum selection clause is not presumptively invalid under the</w:t>
      </w:r>
      <w:r w:rsidRPr="00AD4A26">
        <w:rPr>
          <w:rStyle w:val="apple-converted-space"/>
          <w:color w:val="252525"/>
        </w:rPr>
        <w:t> </w:t>
      </w:r>
      <w:proofErr w:type="spellStart"/>
      <w:r w:rsidRPr="00AD4A26">
        <w:rPr>
          <w:rStyle w:val="Emphasis"/>
          <w:color w:val="252525"/>
        </w:rPr>
        <w:t>Kubis</w:t>
      </w:r>
      <w:proofErr w:type="spellEnd"/>
      <w:r w:rsidRPr="00AD4A26">
        <w:rPr>
          <w:rStyle w:val="apple-converted-space"/>
          <w:color w:val="252525"/>
        </w:rPr>
        <w:t> </w:t>
      </w:r>
      <w:r w:rsidRPr="00AD4A26">
        <w:rPr>
          <w:color w:val="252525"/>
        </w:rPr>
        <w:t xml:space="preserve">decision, . . . </w:t>
      </w:r>
      <w:r w:rsidRPr="00AD4A26">
        <w:rPr>
          <w:rFonts w:eastAsia="Times New Roman"/>
        </w:rPr>
        <w:t>New Jersey state contract law will be applied to analyze whether the arbitration clause and the arbitral forum selection clause are enforceable.”).</w:t>
      </w:r>
      <w:r w:rsidRPr="00AD4A26">
        <w:rPr>
          <w:rFonts w:eastAsia="Times New Roman"/>
          <w:i/>
        </w:rPr>
        <w:t xml:space="preserve"> </w:t>
      </w:r>
    </w:p>
  </w:footnote>
  <w:footnote w:id="28">
    <w:p w14:paraId="7C8B21C6" w14:textId="58F55F7F" w:rsidR="002B296A" w:rsidRPr="00AD4A26" w:rsidRDefault="002B296A">
      <w:pPr>
        <w:pStyle w:val="FootnoteText"/>
      </w:pPr>
      <w:r w:rsidRPr="00AD4A26">
        <w:rPr>
          <w:rStyle w:val="FootnoteReference"/>
        </w:rPr>
        <w:footnoteRef/>
      </w:r>
      <w:r w:rsidRPr="00AD4A26">
        <w:t xml:space="preserve"> </w:t>
      </w:r>
      <w:r w:rsidR="00EF3D68" w:rsidRPr="00AD4A26">
        <w:rPr>
          <w:i/>
        </w:rPr>
        <w:t>See</w:t>
      </w:r>
      <w:r w:rsidR="00EF3D68" w:rsidRPr="00AD4A26">
        <w:t xml:space="preserve"> Ernest A. Young, </w:t>
      </w:r>
      <w:r w:rsidR="00EF3D68" w:rsidRPr="00AD4A26">
        <w:rPr>
          <w:i/>
        </w:rPr>
        <w:t>The Ordinary Diet of the Law</w:t>
      </w:r>
      <w:r w:rsidR="00EF3D68" w:rsidRPr="00AD4A26">
        <w:t>, 2011 Sup. Ct. Rev. 253, 311</w:t>
      </w:r>
    </w:p>
  </w:footnote>
  <w:footnote w:id="29">
    <w:p w14:paraId="009B9581" w14:textId="77777777" w:rsidR="002B296A" w:rsidRPr="001B12A4" w:rsidRDefault="002B296A">
      <w:pPr>
        <w:pStyle w:val="FootnoteText"/>
      </w:pPr>
      <w:r w:rsidRPr="00AD4A26">
        <w:rPr>
          <w:rStyle w:val="FootnoteReference"/>
        </w:rPr>
        <w:footnoteRef/>
      </w:r>
      <w:r w:rsidRPr="00AD4A26">
        <w:t xml:space="preserve"> </w:t>
      </w:r>
      <w:r w:rsidRPr="00AD4A26">
        <w:rPr>
          <w:i/>
        </w:rPr>
        <w:t>See id.</w:t>
      </w:r>
    </w:p>
  </w:footnote>
  <w:footnote w:id="30">
    <w:p w14:paraId="6BC330FB" w14:textId="77777777" w:rsidR="002B296A" w:rsidRDefault="002B296A">
      <w:pPr>
        <w:pStyle w:val="FootnoteText"/>
      </w:pPr>
      <w:r w:rsidRPr="001B12A4">
        <w:rPr>
          <w:rStyle w:val="FootnoteReference"/>
        </w:rPr>
        <w:footnoteRef/>
      </w:r>
      <w:r w:rsidRPr="001B12A4">
        <w:t xml:space="preserve"> 248 N.J. Super. </w:t>
      </w:r>
      <w:proofErr w:type="gramStart"/>
      <w:r w:rsidRPr="001B12A4">
        <w:t>at</w:t>
      </w:r>
      <w:proofErr w:type="gramEnd"/>
      <w:r w:rsidRPr="001B12A4">
        <w:t xml:space="preserve"> 675</w:t>
      </w:r>
      <w:r w:rsidR="001B12A4">
        <w:t>.</w:t>
      </w:r>
    </w:p>
  </w:footnote>
  <w:footnote w:id="31">
    <w:p w14:paraId="3A3AF317" w14:textId="77777777" w:rsidR="002B296A" w:rsidRPr="003C1E3F" w:rsidRDefault="002B296A" w:rsidP="003C1E3F">
      <w:pPr>
        <w:pStyle w:val="FootnoteText"/>
      </w:pPr>
      <w:r>
        <w:rPr>
          <w:rStyle w:val="FootnoteReference"/>
        </w:rPr>
        <w:footnoteRef/>
      </w:r>
      <w:r>
        <w:t xml:space="preserve"> </w:t>
      </w:r>
      <w:r w:rsidRPr="00C977C0">
        <w:rPr>
          <w:i/>
        </w:rPr>
        <w:t>Id.</w:t>
      </w:r>
    </w:p>
  </w:footnote>
  <w:footnote w:id="32">
    <w:p w14:paraId="028C7993" w14:textId="77777777" w:rsidR="002B296A" w:rsidRDefault="002B296A" w:rsidP="00D47BCE">
      <w:pPr>
        <w:pStyle w:val="NoSpacing"/>
        <w:jc w:val="both"/>
        <w:rPr>
          <w:sz w:val="20"/>
          <w:szCs w:val="20"/>
        </w:rPr>
      </w:pPr>
      <w:r>
        <w:rPr>
          <w:rStyle w:val="FootnoteReference"/>
        </w:rPr>
        <w:footnoteRef/>
      </w:r>
      <w:r>
        <w:t xml:space="preserve"> </w:t>
      </w:r>
      <w:r w:rsidRPr="009C49D1">
        <w:rPr>
          <w:sz w:val="20"/>
          <w:szCs w:val="20"/>
        </w:rPr>
        <w:t xml:space="preserve">The revisions are based on the determinations of the </w:t>
      </w:r>
      <w:r>
        <w:rPr>
          <w:sz w:val="20"/>
          <w:szCs w:val="20"/>
        </w:rPr>
        <w:t>Supreme Court decision</w:t>
      </w:r>
      <w:r w:rsidRPr="009C49D1">
        <w:rPr>
          <w:sz w:val="20"/>
          <w:szCs w:val="20"/>
        </w:rPr>
        <w:t xml:space="preserve"> in </w:t>
      </w:r>
      <w:r w:rsidRPr="009C49D1">
        <w:rPr>
          <w:i/>
          <w:sz w:val="20"/>
          <w:szCs w:val="20"/>
        </w:rPr>
        <w:t>Tynan v. General Motors Cor</w:t>
      </w:r>
      <w:r>
        <w:rPr>
          <w:i/>
          <w:sz w:val="20"/>
          <w:szCs w:val="20"/>
        </w:rPr>
        <w:t>p.</w:t>
      </w:r>
      <w:r w:rsidRPr="009C49D1">
        <w:rPr>
          <w:sz w:val="20"/>
          <w:szCs w:val="20"/>
        </w:rPr>
        <w:t xml:space="preserve">, </w:t>
      </w:r>
      <w:r w:rsidRPr="009B28D1">
        <w:rPr>
          <w:sz w:val="20"/>
          <w:szCs w:val="20"/>
        </w:rPr>
        <w:t>127 N.J. 269 (1992</w:t>
      </w:r>
      <w:r>
        <w:rPr>
          <w:sz w:val="20"/>
          <w:szCs w:val="20"/>
        </w:rPr>
        <w:t xml:space="preserve">), </w:t>
      </w:r>
      <w:proofErr w:type="spellStart"/>
      <w:r w:rsidRPr="006135B6">
        <w:rPr>
          <w:i/>
          <w:sz w:val="20"/>
          <w:szCs w:val="20"/>
        </w:rPr>
        <w:t>rev’g</w:t>
      </w:r>
      <w:proofErr w:type="spellEnd"/>
      <w:r w:rsidRPr="006135B6">
        <w:rPr>
          <w:i/>
          <w:sz w:val="20"/>
          <w:szCs w:val="20"/>
        </w:rPr>
        <w:t xml:space="preserve"> in part</w:t>
      </w:r>
      <w:r>
        <w:rPr>
          <w:sz w:val="20"/>
          <w:szCs w:val="20"/>
        </w:rPr>
        <w:t>,</w:t>
      </w:r>
      <w:r w:rsidRPr="006135B6">
        <w:rPr>
          <w:sz w:val="20"/>
          <w:szCs w:val="20"/>
        </w:rPr>
        <w:t xml:space="preserve"> </w:t>
      </w:r>
      <w:r w:rsidRPr="009B28D1">
        <w:rPr>
          <w:sz w:val="20"/>
          <w:szCs w:val="20"/>
        </w:rPr>
        <w:t>248 N.J. Super. 654, 656 (App. Div. 1991</w:t>
      </w:r>
      <w:proofErr w:type="gramStart"/>
      <w:r w:rsidRPr="009B28D1">
        <w:rPr>
          <w:sz w:val="20"/>
          <w:szCs w:val="20"/>
        </w:rPr>
        <w:t>)</w:t>
      </w:r>
      <w:r>
        <w:rPr>
          <w:sz w:val="20"/>
          <w:szCs w:val="20"/>
        </w:rPr>
        <w:t>(</w:t>
      </w:r>
      <w:proofErr w:type="gramEnd"/>
      <w:r>
        <w:rPr>
          <w:sz w:val="20"/>
          <w:szCs w:val="20"/>
        </w:rPr>
        <w:t>adopting the reasoning of the partial dissent of Judge Cohen)(c</w:t>
      </w:r>
      <w:r w:rsidRPr="009C49D1">
        <w:rPr>
          <w:sz w:val="20"/>
          <w:szCs w:val="20"/>
        </w:rPr>
        <w:t>onsidering the $35,000 threshold as indicative of a legislative intent “not to limit the time for suit but to measure the size of the businesses protected by the Act,” Judge Cohen proposed that the current twelve month period should be “limited to ongoing franchises that are in business when suit is started. Businesses that have terminated before suit starts must have their gross sales calculated for the last 12 months they existed”</w:t>
      </w:r>
      <w:r>
        <w:rPr>
          <w:sz w:val="20"/>
          <w:szCs w:val="20"/>
        </w:rPr>
        <w:t>).</w:t>
      </w:r>
    </w:p>
    <w:p w14:paraId="6220A310" w14:textId="77777777" w:rsidR="002B296A" w:rsidRDefault="002B296A" w:rsidP="009C49D1">
      <w:pPr>
        <w:pStyle w:val="NoSpacing"/>
        <w:ind w:right="720"/>
        <w:jc w:val="both"/>
        <w:rPr>
          <w:sz w:val="20"/>
          <w:szCs w:val="20"/>
        </w:rPr>
      </w:pPr>
    </w:p>
    <w:p w14:paraId="191C9288" w14:textId="77777777" w:rsidR="002B296A" w:rsidRDefault="002B296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8216F"/>
    <w:multiLevelType w:val="hybridMultilevel"/>
    <w:tmpl w:val="114ABFE4"/>
    <w:lvl w:ilvl="0" w:tplc="B0705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4C5F4D"/>
    <w:multiLevelType w:val="hybridMultilevel"/>
    <w:tmpl w:val="679C4722"/>
    <w:lvl w:ilvl="0" w:tplc="CF186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B2024"/>
    <w:multiLevelType w:val="hybridMultilevel"/>
    <w:tmpl w:val="EE548D72"/>
    <w:lvl w:ilvl="0" w:tplc="479C9D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7853E6"/>
    <w:multiLevelType w:val="hybridMultilevel"/>
    <w:tmpl w:val="679C4722"/>
    <w:lvl w:ilvl="0" w:tplc="CF186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85F58"/>
    <w:multiLevelType w:val="hybridMultilevel"/>
    <w:tmpl w:val="38BAAFEE"/>
    <w:lvl w:ilvl="0" w:tplc="D44C1B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6A"/>
    <w:rsid w:val="000430B5"/>
    <w:rsid w:val="00046B0E"/>
    <w:rsid w:val="00046EFD"/>
    <w:rsid w:val="000E592F"/>
    <w:rsid w:val="00101019"/>
    <w:rsid w:val="00102DB3"/>
    <w:rsid w:val="00154159"/>
    <w:rsid w:val="00157A95"/>
    <w:rsid w:val="001714C7"/>
    <w:rsid w:val="001B12A4"/>
    <w:rsid w:val="001E274D"/>
    <w:rsid w:val="002377EF"/>
    <w:rsid w:val="0025339A"/>
    <w:rsid w:val="00290112"/>
    <w:rsid w:val="00297E03"/>
    <w:rsid w:val="002B296A"/>
    <w:rsid w:val="002D1F46"/>
    <w:rsid w:val="003074EF"/>
    <w:rsid w:val="0032286C"/>
    <w:rsid w:val="00362D2B"/>
    <w:rsid w:val="003823B8"/>
    <w:rsid w:val="003A139E"/>
    <w:rsid w:val="003C1E3F"/>
    <w:rsid w:val="003C5FF6"/>
    <w:rsid w:val="003D0DC4"/>
    <w:rsid w:val="003D37F7"/>
    <w:rsid w:val="003E01EA"/>
    <w:rsid w:val="003E2386"/>
    <w:rsid w:val="003F10AA"/>
    <w:rsid w:val="00422CE3"/>
    <w:rsid w:val="00425C4D"/>
    <w:rsid w:val="0044469C"/>
    <w:rsid w:val="00496B6C"/>
    <w:rsid w:val="004D167F"/>
    <w:rsid w:val="00522847"/>
    <w:rsid w:val="00536B5A"/>
    <w:rsid w:val="00555040"/>
    <w:rsid w:val="005661F0"/>
    <w:rsid w:val="005A30AD"/>
    <w:rsid w:val="005C5C01"/>
    <w:rsid w:val="005C606C"/>
    <w:rsid w:val="006135B6"/>
    <w:rsid w:val="0068136D"/>
    <w:rsid w:val="006C0DB5"/>
    <w:rsid w:val="006D2E8F"/>
    <w:rsid w:val="006E00C4"/>
    <w:rsid w:val="006F6873"/>
    <w:rsid w:val="0070100D"/>
    <w:rsid w:val="007073B8"/>
    <w:rsid w:val="00766D4D"/>
    <w:rsid w:val="00775C7A"/>
    <w:rsid w:val="007A7C2E"/>
    <w:rsid w:val="007D6B6E"/>
    <w:rsid w:val="00816E78"/>
    <w:rsid w:val="00834CAE"/>
    <w:rsid w:val="00834CC7"/>
    <w:rsid w:val="00841DD8"/>
    <w:rsid w:val="00857712"/>
    <w:rsid w:val="00896D8B"/>
    <w:rsid w:val="008A60FE"/>
    <w:rsid w:val="008D770E"/>
    <w:rsid w:val="008E3799"/>
    <w:rsid w:val="0090142C"/>
    <w:rsid w:val="009021C2"/>
    <w:rsid w:val="009A1478"/>
    <w:rsid w:val="009A5F2C"/>
    <w:rsid w:val="009C49D1"/>
    <w:rsid w:val="009F2E56"/>
    <w:rsid w:val="00A1143B"/>
    <w:rsid w:val="00A239EE"/>
    <w:rsid w:val="00AA019A"/>
    <w:rsid w:val="00AD4A26"/>
    <w:rsid w:val="00B130CD"/>
    <w:rsid w:val="00B2454D"/>
    <w:rsid w:val="00B324AE"/>
    <w:rsid w:val="00B66D7A"/>
    <w:rsid w:val="00BB57DE"/>
    <w:rsid w:val="00BC4765"/>
    <w:rsid w:val="00C177FD"/>
    <w:rsid w:val="00C31007"/>
    <w:rsid w:val="00C368BC"/>
    <w:rsid w:val="00C37B52"/>
    <w:rsid w:val="00C47263"/>
    <w:rsid w:val="00C763F9"/>
    <w:rsid w:val="00CA312B"/>
    <w:rsid w:val="00CE4979"/>
    <w:rsid w:val="00D0786F"/>
    <w:rsid w:val="00D21983"/>
    <w:rsid w:val="00D237F5"/>
    <w:rsid w:val="00D4736F"/>
    <w:rsid w:val="00D47BCE"/>
    <w:rsid w:val="00DD2461"/>
    <w:rsid w:val="00DD6280"/>
    <w:rsid w:val="00DE0FB9"/>
    <w:rsid w:val="00DF18E4"/>
    <w:rsid w:val="00DF40F5"/>
    <w:rsid w:val="00E818E2"/>
    <w:rsid w:val="00E86B36"/>
    <w:rsid w:val="00E92FDE"/>
    <w:rsid w:val="00E935F2"/>
    <w:rsid w:val="00EB42EA"/>
    <w:rsid w:val="00EC1A6A"/>
    <w:rsid w:val="00EF3D68"/>
    <w:rsid w:val="00F05AE4"/>
    <w:rsid w:val="00F14D93"/>
    <w:rsid w:val="00F20D55"/>
    <w:rsid w:val="00F2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4080D"/>
  <w15:docId w15:val="{2F485A0E-2D6E-4BFF-AFD7-BE1CD7F1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6C"/>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A6A"/>
    <w:pPr>
      <w:spacing w:after="0" w:line="240" w:lineRule="auto"/>
    </w:pPr>
    <w:rPr>
      <w:rFonts w:ascii="Times New Roman" w:hAnsi="Times New Roman" w:cs="Times New Roman"/>
    </w:rPr>
  </w:style>
  <w:style w:type="paragraph" w:styleId="FootnoteText">
    <w:name w:val="footnote text"/>
    <w:basedOn w:val="Normal"/>
    <w:link w:val="FootnoteTextChar"/>
    <w:uiPriority w:val="99"/>
    <w:unhideWhenUsed/>
    <w:rsid w:val="00EC1A6A"/>
    <w:rPr>
      <w:sz w:val="20"/>
      <w:szCs w:val="20"/>
    </w:rPr>
  </w:style>
  <w:style w:type="character" w:customStyle="1" w:styleId="FootnoteTextChar">
    <w:name w:val="Footnote Text Char"/>
    <w:basedOn w:val="DefaultParagraphFont"/>
    <w:link w:val="FootnoteText"/>
    <w:uiPriority w:val="99"/>
    <w:rsid w:val="00EC1A6A"/>
    <w:rPr>
      <w:rFonts w:ascii="Times New Roman" w:hAnsi="Times New Roman" w:cs="Times New Roman"/>
      <w:sz w:val="20"/>
      <w:szCs w:val="20"/>
    </w:rPr>
  </w:style>
  <w:style w:type="character" w:styleId="FootnoteReference">
    <w:name w:val="footnote reference"/>
    <w:basedOn w:val="DefaultParagraphFont"/>
    <w:uiPriority w:val="99"/>
    <w:unhideWhenUsed/>
    <w:rsid w:val="00EC1A6A"/>
    <w:rPr>
      <w:vertAlign w:val="superscript"/>
    </w:rPr>
  </w:style>
  <w:style w:type="paragraph" w:styleId="Footer">
    <w:name w:val="footer"/>
    <w:basedOn w:val="Normal"/>
    <w:link w:val="FooterChar"/>
    <w:uiPriority w:val="99"/>
    <w:unhideWhenUsed/>
    <w:rsid w:val="00EC1A6A"/>
    <w:pPr>
      <w:tabs>
        <w:tab w:val="center" w:pos="4680"/>
        <w:tab w:val="right" w:pos="9360"/>
      </w:tabs>
    </w:pPr>
  </w:style>
  <w:style w:type="character" w:customStyle="1" w:styleId="FooterChar">
    <w:name w:val="Footer Char"/>
    <w:basedOn w:val="DefaultParagraphFont"/>
    <w:link w:val="Footer"/>
    <w:uiPriority w:val="99"/>
    <w:rsid w:val="00EC1A6A"/>
    <w:rPr>
      <w:rFonts w:ascii="Times New Roman" w:hAnsi="Times New Roman" w:cs="Times New Roman"/>
    </w:rPr>
  </w:style>
  <w:style w:type="character" w:customStyle="1" w:styleId="apple-converted-space">
    <w:name w:val="apple-converted-space"/>
    <w:basedOn w:val="DefaultParagraphFont"/>
    <w:rsid w:val="00EC1A6A"/>
  </w:style>
  <w:style w:type="character" w:styleId="Emphasis">
    <w:name w:val="Emphasis"/>
    <w:basedOn w:val="DefaultParagraphFont"/>
    <w:uiPriority w:val="20"/>
    <w:qFormat/>
    <w:rsid w:val="00EC1A6A"/>
    <w:rPr>
      <w:i/>
      <w:iCs/>
    </w:rPr>
  </w:style>
  <w:style w:type="character" w:customStyle="1" w:styleId="cosearchterm7">
    <w:name w:val="co_searchterm7"/>
    <w:basedOn w:val="DefaultParagraphFont"/>
    <w:rsid w:val="00EC1A6A"/>
    <w:rPr>
      <w:b/>
      <w:bCs/>
      <w:color w:val="252525"/>
    </w:rPr>
  </w:style>
  <w:style w:type="paragraph" w:customStyle="1" w:styleId="Normal1">
    <w:name w:val="Normal1"/>
    <w:rsid w:val="00EC1A6A"/>
    <w:rPr>
      <w:rFonts w:ascii="Cambria" w:eastAsia="Cambria" w:hAnsi="Cambria" w:cs="Cambria"/>
      <w:color w:val="000000"/>
      <w:sz w:val="22"/>
      <w:szCs w:val="22"/>
    </w:rPr>
  </w:style>
  <w:style w:type="paragraph" w:styleId="BalloonText">
    <w:name w:val="Balloon Text"/>
    <w:basedOn w:val="Normal"/>
    <w:link w:val="BalloonTextChar"/>
    <w:uiPriority w:val="99"/>
    <w:semiHidden/>
    <w:unhideWhenUsed/>
    <w:rsid w:val="00EC1A6A"/>
    <w:rPr>
      <w:rFonts w:ascii="Tahoma" w:hAnsi="Tahoma" w:cs="Tahoma"/>
      <w:sz w:val="16"/>
      <w:szCs w:val="16"/>
    </w:rPr>
  </w:style>
  <w:style w:type="character" w:customStyle="1" w:styleId="BalloonTextChar">
    <w:name w:val="Balloon Text Char"/>
    <w:basedOn w:val="DefaultParagraphFont"/>
    <w:link w:val="BalloonText"/>
    <w:uiPriority w:val="99"/>
    <w:semiHidden/>
    <w:rsid w:val="00EC1A6A"/>
    <w:rPr>
      <w:rFonts w:ascii="Tahoma" w:hAnsi="Tahoma" w:cs="Tahoma"/>
      <w:sz w:val="16"/>
      <w:szCs w:val="16"/>
    </w:rPr>
  </w:style>
  <w:style w:type="paragraph" w:customStyle="1" w:styleId="Default">
    <w:name w:val="Default"/>
    <w:rsid w:val="009A5F2C"/>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3D37F7"/>
    <w:pPr>
      <w:spacing w:after="200" w:line="276" w:lineRule="auto"/>
      <w:ind w:left="720"/>
      <w:contextualSpacing/>
    </w:pPr>
  </w:style>
  <w:style w:type="paragraph" w:styleId="Header">
    <w:name w:val="header"/>
    <w:basedOn w:val="Normal"/>
    <w:link w:val="HeaderChar"/>
    <w:uiPriority w:val="99"/>
    <w:unhideWhenUsed/>
    <w:rsid w:val="00C37B52"/>
    <w:pPr>
      <w:tabs>
        <w:tab w:val="center" w:pos="4680"/>
        <w:tab w:val="right" w:pos="9360"/>
      </w:tabs>
    </w:pPr>
  </w:style>
  <w:style w:type="character" w:customStyle="1" w:styleId="HeaderChar">
    <w:name w:val="Header Char"/>
    <w:basedOn w:val="DefaultParagraphFont"/>
    <w:link w:val="Header"/>
    <w:uiPriority w:val="99"/>
    <w:rsid w:val="00C37B52"/>
    <w:rPr>
      <w:rFonts w:ascii="Times New Roman" w:hAnsi="Times New Roman" w:cs="Times New Roman"/>
    </w:rPr>
  </w:style>
  <w:style w:type="character" w:styleId="Hyperlink">
    <w:name w:val="Hyperlink"/>
    <w:basedOn w:val="DefaultParagraphFont"/>
    <w:uiPriority w:val="99"/>
    <w:semiHidden/>
    <w:unhideWhenUsed/>
    <w:rsid w:val="00B2454D"/>
    <w:rPr>
      <w:color w:val="0000FF"/>
      <w:u w:val="single"/>
    </w:rPr>
  </w:style>
  <w:style w:type="character" w:customStyle="1" w:styleId="cosearchterm">
    <w:name w:val="co_searchterm"/>
    <w:basedOn w:val="DefaultParagraphFont"/>
    <w:rsid w:val="00102DB3"/>
  </w:style>
  <w:style w:type="character" w:customStyle="1" w:styleId="coverticaldivider">
    <w:name w:val="co_verticaldivider"/>
    <w:basedOn w:val="DefaultParagraphFont"/>
    <w:rsid w:val="00362D2B"/>
  </w:style>
  <w:style w:type="character" w:customStyle="1" w:styleId="cosearchwithinterm">
    <w:name w:val="co_searchwithinterm"/>
    <w:basedOn w:val="DefaultParagraphFont"/>
    <w:rsid w:val="00C368BC"/>
  </w:style>
  <w:style w:type="character" w:styleId="FollowedHyperlink">
    <w:name w:val="FollowedHyperlink"/>
    <w:basedOn w:val="DefaultParagraphFont"/>
    <w:uiPriority w:val="99"/>
    <w:semiHidden/>
    <w:unhideWhenUsed/>
    <w:rsid w:val="006F6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1429">
      <w:bodyDiv w:val="1"/>
      <w:marLeft w:val="0"/>
      <w:marRight w:val="0"/>
      <w:marTop w:val="0"/>
      <w:marBottom w:val="0"/>
      <w:divBdr>
        <w:top w:val="none" w:sz="0" w:space="0" w:color="auto"/>
        <w:left w:val="none" w:sz="0" w:space="0" w:color="auto"/>
        <w:bottom w:val="none" w:sz="0" w:space="0" w:color="auto"/>
        <w:right w:val="none" w:sz="0" w:space="0" w:color="auto"/>
      </w:divBdr>
    </w:div>
    <w:div w:id="292757409">
      <w:bodyDiv w:val="1"/>
      <w:marLeft w:val="0"/>
      <w:marRight w:val="0"/>
      <w:marTop w:val="0"/>
      <w:marBottom w:val="0"/>
      <w:divBdr>
        <w:top w:val="none" w:sz="0" w:space="0" w:color="auto"/>
        <w:left w:val="none" w:sz="0" w:space="0" w:color="auto"/>
        <w:bottom w:val="none" w:sz="0" w:space="0" w:color="auto"/>
        <w:right w:val="none" w:sz="0" w:space="0" w:color="auto"/>
      </w:divBdr>
    </w:div>
    <w:div w:id="517424348">
      <w:bodyDiv w:val="1"/>
      <w:marLeft w:val="0"/>
      <w:marRight w:val="0"/>
      <w:marTop w:val="0"/>
      <w:marBottom w:val="0"/>
      <w:divBdr>
        <w:top w:val="none" w:sz="0" w:space="0" w:color="auto"/>
        <w:left w:val="none" w:sz="0" w:space="0" w:color="auto"/>
        <w:bottom w:val="none" w:sz="0" w:space="0" w:color="auto"/>
        <w:right w:val="none" w:sz="0" w:space="0" w:color="auto"/>
      </w:divBdr>
    </w:div>
    <w:div w:id="613902130">
      <w:bodyDiv w:val="1"/>
      <w:marLeft w:val="0"/>
      <w:marRight w:val="0"/>
      <w:marTop w:val="0"/>
      <w:marBottom w:val="0"/>
      <w:divBdr>
        <w:top w:val="none" w:sz="0" w:space="0" w:color="auto"/>
        <w:left w:val="none" w:sz="0" w:space="0" w:color="auto"/>
        <w:bottom w:val="none" w:sz="0" w:space="0" w:color="auto"/>
        <w:right w:val="none" w:sz="0" w:space="0" w:color="auto"/>
      </w:divBdr>
    </w:div>
    <w:div w:id="816458081">
      <w:bodyDiv w:val="1"/>
      <w:marLeft w:val="0"/>
      <w:marRight w:val="0"/>
      <w:marTop w:val="0"/>
      <w:marBottom w:val="0"/>
      <w:divBdr>
        <w:top w:val="none" w:sz="0" w:space="0" w:color="auto"/>
        <w:left w:val="none" w:sz="0" w:space="0" w:color="auto"/>
        <w:bottom w:val="none" w:sz="0" w:space="0" w:color="auto"/>
        <w:right w:val="none" w:sz="0" w:space="0" w:color="auto"/>
      </w:divBdr>
    </w:div>
    <w:div w:id="1394155431">
      <w:bodyDiv w:val="1"/>
      <w:marLeft w:val="0"/>
      <w:marRight w:val="0"/>
      <w:marTop w:val="0"/>
      <w:marBottom w:val="0"/>
      <w:divBdr>
        <w:top w:val="none" w:sz="0" w:space="0" w:color="auto"/>
        <w:left w:val="none" w:sz="0" w:space="0" w:color="auto"/>
        <w:bottom w:val="none" w:sz="0" w:space="0" w:color="auto"/>
        <w:right w:val="none" w:sz="0" w:space="0" w:color="auto"/>
      </w:divBdr>
    </w:div>
    <w:div w:id="1408772930">
      <w:bodyDiv w:val="1"/>
      <w:marLeft w:val="0"/>
      <w:marRight w:val="0"/>
      <w:marTop w:val="0"/>
      <w:marBottom w:val="0"/>
      <w:divBdr>
        <w:top w:val="none" w:sz="0" w:space="0" w:color="auto"/>
        <w:left w:val="none" w:sz="0" w:space="0" w:color="auto"/>
        <w:bottom w:val="none" w:sz="0" w:space="0" w:color="auto"/>
        <w:right w:val="none" w:sz="0" w:space="0" w:color="auto"/>
      </w:divBdr>
    </w:div>
    <w:div w:id="1457676627">
      <w:bodyDiv w:val="1"/>
      <w:marLeft w:val="0"/>
      <w:marRight w:val="0"/>
      <w:marTop w:val="0"/>
      <w:marBottom w:val="0"/>
      <w:divBdr>
        <w:top w:val="none" w:sz="0" w:space="0" w:color="auto"/>
        <w:left w:val="none" w:sz="0" w:space="0" w:color="auto"/>
        <w:bottom w:val="none" w:sz="0" w:space="0" w:color="auto"/>
        <w:right w:val="none" w:sz="0" w:space="0" w:color="auto"/>
      </w:divBdr>
    </w:div>
    <w:div w:id="1841460237">
      <w:bodyDiv w:val="1"/>
      <w:marLeft w:val="0"/>
      <w:marRight w:val="0"/>
      <w:marTop w:val="0"/>
      <w:marBottom w:val="0"/>
      <w:divBdr>
        <w:top w:val="none" w:sz="0" w:space="0" w:color="auto"/>
        <w:left w:val="none" w:sz="0" w:space="0" w:color="auto"/>
        <w:bottom w:val="none" w:sz="0" w:space="0" w:color="auto"/>
        <w:right w:val="none" w:sz="0" w:space="0" w:color="auto"/>
      </w:divBdr>
    </w:div>
    <w:div w:id="2106682028">
      <w:bodyDiv w:val="1"/>
      <w:marLeft w:val="0"/>
      <w:marRight w:val="0"/>
      <w:marTop w:val="0"/>
      <w:marBottom w:val="0"/>
      <w:divBdr>
        <w:top w:val="none" w:sz="0" w:space="0" w:color="auto"/>
        <w:left w:val="none" w:sz="0" w:space="0" w:color="auto"/>
        <w:bottom w:val="none" w:sz="0" w:space="0" w:color="auto"/>
        <w:right w:val="none" w:sz="0" w:space="0" w:color="auto"/>
      </w:divBdr>
    </w:div>
    <w:div w:id="212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96254552">
          <w:marLeft w:val="0"/>
          <w:marRight w:val="0"/>
          <w:marTop w:val="240"/>
          <w:marBottom w:val="0"/>
          <w:divBdr>
            <w:top w:val="none" w:sz="0" w:space="0" w:color="auto"/>
            <w:left w:val="none" w:sz="0" w:space="0" w:color="auto"/>
            <w:bottom w:val="none" w:sz="0" w:space="0" w:color="auto"/>
            <w:right w:val="none" w:sz="0" w:space="0" w:color="auto"/>
          </w:divBdr>
          <w:divsChild>
            <w:div w:id="1310791608">
              <w:marLeft w:val="0"/>
              <w:marRight w:val="0"/>
              <w:marTop w:val="0"/>
              <w:marBottom w:val="0"/>
              <w:divBdr>
                <w:top w:val="none" w:sz="0" w:space="0" w:color="auto"/>
                <w:left w:val="none" w:sz="0" w:space="0" w:color="auto"/>
                <w:bottom w:val="none" w:sz="0" w:space="0" w:color="auto"/>
                <w:right w:val="none" w:sz="0" w:space="0" w:color="auto"/>
              </w:divBdr>
            </w:div>
          </w:divsChild>
        </w:div>
        <w:div w:id="1234700091">
          <w:marLeft w:val="0"/>
          <w:marRight w:val="0"/>
          <w:marTop w:val="240"/>
          <w:marBottom w:val="0"/>
          <w:divBdr>
            <w:top w:val="none" w:sz="0" w:space="0" w:color="auto"/>
            <w:left w:val="none" w:sz="0" w:space="0" w:color="auto"/>
            <w:bottom w:val="none" w:sz="0" w:space="0" w:color="auto"/>
            <w:right w:val="none" w:sz="0" w:space="0" w:color="auto"/>
          </w:divBdr>
          <w:divsChild>
            <w:div w:id="1586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Y&amp;serNum=2025172541&amp;pubNum=0000708&amp;originatingDoc=I654ed591394911e7b92bf4314c15140f&amp;refType=RP&amp;originationContext=document&amp;transitionType=DocumentItem&amp;contextData=(sc.DocLink)" TargetMode="External"/><Relationship Id="rId1" Type="http://schemas.openxmlformats.org/officeDocument/2006/relationships/hyperlink" Target="https://1.next.westlaw.com/Link/Document/FullText?findType=Y&amp;serNum=2041650686&amp;pubNum=0000708&amp;originatingDoc=I7fc1e4d04f9e11e7a3f3a229dca6c9c6&amp;refType=RP&amp;fi=co_pp_sp_708_1426&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0E6E25-D24B-41AF-9F96-68A881A2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Johnson</dc:creator>
  <cp:lastModifiedBy>Laura Tharney</cp:lastModifiedBy>
  <cp:revision>3</cp:revision>
  <cp:lastPrinted>2017-07-06T17:50:00Z</cp:lastPrinted>
  <dcterms:created xsi:type="dcterms:W3CDTF">2017-07-10T16:26:00Z</dcterms:created>
  <dcterms:modified xsi:type="dcterms:W3CDTF">2017-07-10T16:28:00Z</dcterms:modified>
</cp:coreProperties>
</file>