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2A" w:rsidRDefault="005E572A" w:rsidP="008527A7">
      <w:pPr>
        <w:rPr>
          <w:rFonts w:ascii="Times New Roman" w:hAnsi="Times New Roman" w:cs="Times New Roman"/>
          <w:b/>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sidR="005F1A75">
        <w:rPr>
          <w:rFonts w:ascii="Times New Roman" w:hAnsi="Times New Roman" w:cs="Times New Roman"/>
          <w:b/>
          <w:sz w:val="24"/>
          <w:szCs w:val="24"/>
        </w:rPr>
        <w:t>New Jersey Law Revision Commission</w:t>
      </w:r>
    </w:p>
    <w:p w:rsidR="005E572A" w:rsidRDefault="005E572A" w:rsidP="008527A7">
      <w:pPr>
        <w:rPr>
          <w:rFonts w:ascii="Times New Roman" w:hAnsi="Times New Roman" w:cs="Times New Roman"/>
          <w:b/>
          <w:sz w:val="24"/>
          <w:szCs w:val="24"/>
        </w:rPr>
      </w:pPr>
      <w:r>
        <w:rPr>
          <w:rFonts w:ascii="Times New Roman" w:hAnsi="Times New Roman" w:cs="Times New Roman"/>
          <w:b/>
          <w:sz w:val="24"/>
          <w:szCs w:val="24"/>
        </w:rPr>
        <w:t>From:</w:t>
      </w:r>
      <w:r w:rsidR="009E3B87">
        <w:rPr>
          <w:rFonts w:ascii="Times New Roman" w:hAnsi="Times New Roman" w:cs="Times New Roman"/>
          <w:b/>
          <w:sz w:val="24"/>
          <w:szCs w:val="24"/>
        </w:rPr>
        <w:t xml:space="preserve"> Samuel M. Silver</w:t>
      </w:r>
      <w:r w:rsidR="00303562">
        <w:rPr>
          <w:rFonts w:ascii="Times New Roman" w:hAnsi="Times New Roman" w:cs="Times New Roman"/>
          <w:b/>
          <w:sz w:val="24"/>
          <w:szCs w:val="24"/>
        </w:rPr>
        <w:t>, Counsel</w:t>
      </w:r>
    </w:p>
    <w:p w:rsidR="005E572A" w:rsidRDefault="005E572A" w:rsidP="008527A7">
      <w:pPr>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r>
      <w:r w:rsidR="00F52554">
        <w:rPr>
          <w:rFonts w:ascii="Times New Roman" w:hAnsi="Times New Roman" w:cs="Times New Roman"/>
          <w:b/>
          <w:sz w:val="24"/>
          <w:szCs w:val="24"/>
        </w:rPr>
        <w:t xml:space="preserve">Open Public Meetings Act </w:t>
      </w:r>
    </w:p>
    <w:p w:rsidR="005E572A" w:rsidRDefault="005E572A" w:rsidP="008527A7">
      <w:pPr>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9E3B87">
        <w:rPr>
          <w:rFonts w:ascii="Times New Roman" w:hAnsi="Times New Roman" w:cs="Times New Roman"/>
          <w:b/>
          <w:sz w:val="24"/>
          <w:szCs w:val="24"/>
        </w:rPr>
        <w:t>July 09, 2018</w:t>
      </w:r>
    </w:p>
    <w:p w:rsidR="005E572A" w:rsidRDefault="005E572A" w:rsidP="008527A7">
      <w:pPr>
        <w:tabs>
          <w:tab w:val="left" w:pos="1945"/>
        </w:tabs>
        <w:rPr>
          <w:rFonts w:ascii="Times New Roman" w:hAnsi="Times New Roman" w:cs="Times New Roman"/>
          <w:sz w:val="24"/>
          <w:szCs w:val="24"/>
        </w:rPr>
      </w:pPr>
      <w:r>
        <w:rPr>
          <w:rFonts w:ascii="Times New Roman" w:hAnsi="Times New Roman" w:cs="Times New Roman"/>
          <w:sz w:val="24"/>
          <w:szCs w:val="24"/>
        </w:rPr>
        <w:tab/>
      </w:r>
    </w:p>
    <w:p w:rsidR="005E572A" w:rsidRDefault="005E572A" w:rsidP="008527A7">
      <w:pPr>
        <w:jc w:val="center"/>
        <w:rPr>
          <w:rFonts w:ascii="Times New Roman" w:hAnsi="Times New Roman" w:cs="Times New Roman"/>
          <w:sz w:val="24"/>
          <w:szCs w:val="24"/>
        </w:rPr>
      </w:pPr>
      <w:r>
        <w:rPr>
          <w:rFonts w:ascii="Times New Roman" w:hAnsi="Times New Roman" w:cs="Times New Roman"/>
          <w:b/>
          <w:sz w:val="24"/>
          <w:szCs w:val="24"/>
        </w:rPr>
        <w:t>M E M O R A N D U M</w:t>
      </w:r>
    </w:p>
    <w:p w:rsidR="005E572A" w:rsidRDefault="005E572A" w:rsidP="008527A7">
      <w:pPr>
        <w:jc w:val="center"/>
        <w:rPr>
          <w:rFonts w:ascii="Times New Roman" w:hAnsi="Times New Roman" w:cs="Times New Roman"/>
          <w:sz w:val="24"/>
          <w:szCs w:val="24"/>
        </w:rPr>
      </w:pPr>
    </w:p>
    <w:p w:rsidR="005E572A" w:rsidRDefault="005E572A" w:rsidP="008527A7">
      <w:pPr>
        <w:jc w:val="center"/>
        <w:rPr>
          <w:rFonts w:ascii="Times New Roman" w:hAnsi="Times New Roman" w:cs="Times New Roman"/>
          <w:sz w:val="24"/>
          <w:szCs w:val="24"/>
        </w:rPr>
      </w:pPr>
      <w:r>
        <w:rPr>
          <w:rFonts w:ascii="Times New Roman" w:hAnsi="Times New Roman" w:cs="Times New Roman"/>
          <w:b/>
          <w:sz w:val="24"/>
          <w:szCs w:val="24"/>
        </w:rPr>
        <w:t>Executive Summary</w:t>
      </w:r>
    </w:p>
    <w:p w:rsidR="005E572A" w:rsidRDefault="005E572A" w:rsidP="008527A7">
      <w:pPr>
        <w:jc w:val="center"/>
        <w:rPr>
          <w:rFonts w:ascii="Times New Roman" w:hAnsi="Times New Roman" w:cs="Times New Roman"/>
          <w:sz w:val="24"/>
          <w:szCs w:val="24"/>
        </w:rPr>
      </w:pPr>
    </w:p>
    <w:p w:rsidR="00DF7441" w:rsidRDefault="009917B0" w:rsidP="008527A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Kean Federation of Teachers v. Morell</w:t>
      </w:r>
      <w:r>
        <w:rPr>
          <w:rFonts w:ascii="Times New Roman" w:eastAsia="Times New Roman" w:hAnsi="Times New Roman" w:cs="Times New Roman"/>
          <w:color w:val="212121"/>
          <w:sz w:val="24"/>
          <w:szCs w:val="24"/>
          <w:shd w:val="clear" w:color="auto" w:fill="FFFFFF"/>
        </w:rPr>
        <w:t xml:space="preserve"> the </w:t>
      </w:r>
      <w:r w:rsidR="00046C71">
        <w:rPr>
          <w:rFonts w:ascii="Times New Roman" w:eastAsia="Times New Roman" w:hAnsi="Times New Roman" w:cs="Times New Roman"/>
          <w:color w:val="212121"/>
          <w:sz w:val="24"/>
          <w:szCs w:val="24"/>
          <w:shd w:val="clear" w:color="auto" w:fill="FFFFFF"/>
        </w:rPr>
        <w:t>trial court, the Appellate Division</w:t>
      </w:r>
      <w:r w:rsidR="00131B5C">
        <w:rPr>
          <w:rFonts w:ascii="Times New Roman" w:eastAsia="Times New Roman" w:hAnsi="Times New Roman" w:cs="Times New Roman"/>
          <w:color w:val="212121"/>
          <w:sz w:val="24"/>
          <w:szCs w:val="24"/>
          <w:shd w:val="clear" w:color="auto" w:fill="FFFFFF"/>
        </w:rPr>
        <w:t>,</w:t>
      </w:r>
      <w:r w:rsidR="00046C71">
        <w:rPr>
          <w:rFonts w:ascii="Times New Roman" w:eastAsia="Times New Roman" w:hAnsi="Times New Roman" w:cs="Times New Roman"/>
          <w:color w:val="212121"/>
          <w:sz w:val="24"/>
          <w:szCs w:val="24"/>
          <w:shd w:val="clear" w:color="auto" w:fill="FFFFFF"/>
        </w:rPr>
        <w:t xml:space="preserve"> and ultimately the New Jersey Supreme Court</w:t>
      </w:r>
      <w:r>
        <w:rPr>
          <w:rFonts w:ascii="Times New Roman" w:eastAsia="Times New Roman" w:hAnsi="Times New Roman" w:cs="Times New Roman"/>
          <w:color w:val="212121"/>
          <w:sz w:val="24"/>
          <w:szCs w:val="24"/>
          <w:shd w:val="clear" w:color="auto" w:fill="FFFFFF"/>
        </w:rPr>
        <w:t xml:space="preserve"> w</w:t>
      </w:r>
      <w:r w:rsidR="00046C71">
        <w:rPr>
          <w:rFonts w:ascii="Times New Roman" w:eastAsia="Times New Roman" w:hAnsi="Times New Roman" w:cs="Times New Roman"/>
          <w:color w:val="212121"/>
          <w:sz w:val="24"/>
          <w:szCs w:val="24"/>
          <w:shd w:val="clear" w:color="auto" w:fill="FFFFFF"/>
        </w:rPr>
        <w:t>ere</w:t>
      </w:r>
      <w:r>
        <w:rPr>
          <w:rFonts w:ascii="Times New Roman" w:eastAsia="Times New Roman" w:hAnsi="Times New Roman" w:cs="Times New Roman"/>
          <w:color w:val="212121"/>
          <w:sz w:val="24"/>
          <w:szCs w:val="24"/>
          <w:shd w:val="clear" w:color="auto" w:fill="FFFFFF"/>
        </w:rPr>
        <w:t xml:space="preserve"> confronted with issues</w:t>
      </w:r>
      <w:r w:rsidR="00046C71">
        <w:rPr>
          <w:rFonts w:ascii="Times New Roman" w:eastAsia="Times New Roman" w:hAnsi="Times New Roman" w:cs="Times New Roman"/>
          <w:color w:val="212121"/>
          <w:sz w:val="24"/>
          <w:szCs w:val="24"/>
          <w:shd w:val="clear" w:color="auto" w:fill="FFFFFF"/>
        </w:rPr>
        <w:t xml:space="preserve"> </w:t>
      </w:r>
      <w:r w:rsidR="00D17157">
        <w:rPr>
          <w:rFonts w:ascii="Times New Roman" w:eastAsia="Times New Roman" w:hAnsi="Times New Roman" w:cs="Times New Roman"/>
          <w:color w:val="212121"/>
          <w:sz w:val="24"/>
          <w:szCs w:val="24"/>
          <w:shd w:val="clear" w:color="auto" w:fill="FFFFFF"/>
        </w:rPr>
        <w:t xml:space="preserve">arising </w:t>
      </w:r>
      <w:r w:rsidR="00510181">
        <w:rPr>
          <w:rFonts w:ascii="Times New Roman" w:eastAsia="Times New Roman" w:hAnsi="Times New Roman" w:cs="Times New Roman"/>
          <w:color w:val="212121"/>
          <w:sz w:val="24"/>
          <w:szCs w:val="24"/>
          <w:shd w:val="clear" w:color="auto" w:fill="FFFFFF"/>
        </w:rPr>
        <w:t>from</w:t>
      </w:r>
      <w:r w:rsidR="00D17157">
        <w:rPr>
          <w:rFonts w:ascii="Times New Roman" w:eastAsia="Times New Roman" w:hAnsi="Times New Roman" w:cs="Times New Roman"/>
          <w:color w:val="212121"/>
          <w:sz w:val="24"/>
          <w:szCs w:val="24"/>
          <w:shd w:val="clear" w:color="auto" w:fill="FFFFFF"/>
        </w:rPr>
        <w:t xml:space="preserve"> </w:t>
      </w:r>
      <w:r w:rsidR="00046C71">
        <w:rPr>
          <w:rFonts w:ascii="Times New Roman" w:eastAsia="Times New Roman" w:hAnsi="Times New Roman" w:cs="Times New Roman"/>
          <w:color w:val="212121"/>
          <w:sz w:val="24"/>
          <w:szCs w:val="24"/>
          <w:shd w:val="clear" w:color="auto" w:fill="FFFFFF"/>
        </w:rPr>
        <w:t>the Open Public Meetings Act (the “OPMA”</w:t>
      </w:r>
      <w:r w:rsidR="001F1B79">
        <w:rPr>
          <w:rFonts w:ascii="Times New Roman" w:eastAsia="Times New Roman" w:hAnsi="Times New Roman" w:cs="Times New Roman"/>
          <w:color w:val="212121"/>
          <w:sz w:val="24"/>
          <w:szCs w:val="24"/>
          <w:shd w:val="clear" w:color="auto" w:fill="FFFFFF"/>
        </w:rPr>
        <w:t xml:space="preserve"> or the “Act”</w:t>
      </w:r>
      <w:r w:rsidR="00046C71">
        <w:rPr>
          <w:rFonts w:ascii="Times New Roman" w:eastAsia="Times New Roman" w:hAnsi="Times New Roman" w:cs="Times New Roman"/>
          <w:color w:val="212121"/>
          <w:sz w:val="24"/>
          <w:szCs w:val="24"/>
          <w:shd w:val="clear" w:color="auto" w:fill="FFFFFF"/>
        </w:rPr>
        <w:t>).</w:t>
      </w:r>
      <w:r w:rsidR="00C90D61">
        <w:rPr>
          <w:rStyle w:val="FootnoteReference"/>
          <w:rFonts w:eastAsia="Times New Roman" w:cs="Times New Roman"/>
          <w:color w:val="212121"/>
          <w:sz w:val="24"/>
          <w:szCs w:val="24"/>
          <w:shd w:val="clear" w:color="auto" w:fill="FFFFFF"/>
        </w:rPr>
        <w:footnoteReference w:id="1"/>
      </w:r>
      <w:r>
        <w:rPr>
          <w:rFonts w:ascii="Times New Roman" w:eastAsia="Times New Roman" w:hAnsi="Times New Roman" w:cs="Times New Roman"/>
          <w:color w:val="212121"/>
          <w:sz w:val="24"/>
          <w:szCs w:val="24"/>
          <w:shd w:val="clear" w:color="auto" w:fill="FFFFFF"/>
        </w:rPr>
        <w:t xml:space="preserve"> </w:t>
      </w:r>
      <w:r w:rsidR="00204317">
        <w:rPr>
          <w:rFonts w:ascii="Times New Roman" w:eastAsia="Times New Roman" w:hAnsi="Times New Roman" w:cs="Times New Roman"/>
          <w:color w:val="212121"/>
          <w:sz w:val="24"/>
          <w:szCs w:val="24"/>
          <w:shd w:val="clear" w:color="auto" w:fill="FFFFFF"/>
        </w:rPr>
        <w:t>In turn, e</w:t>
      </w:r>
      <w:r w:rsidR="00D17157">
        <w:rPr>
          <w:rFonts w:ascii="Times New Roman" w:eastAsia="Times New Roman" w:hAnsi="Times New Roman" w:cs="Times New Roman"/>
          <w:color w:val="212121"/>
          <w:sz w:val="24"/>
          <w:szCs w:val="24"/>
          <w:shd w:val="clear" w:color="auto" w:fill="FFFFFF"/>
        </w:rPr>
        <w:t xml:space="preserve">ach level of the judiciary </w:t>
      </w:r>
      <w:r w:rsidR="00046C71">
        <w:rPr>
          <w:rFonts w:ascii="Times New Roman" w:eastAsia="Times New Roman" w:hAnsi="Times New Roman" w:cs="Times New Roman"/>
          <w:color w:val="212121"/>
          <w:sz w:val="24"/>
          <w:szCs w:val="24"/>
          <w:shd w:val="clear" w:color="auto" w:fill="FFFFFF"/>
        </w:rPr>
        <w:t>analyzed the OPMA</w:t>
      </w:r>
      <w:r w:rsidR="00D17157">
        <w:rPr>
          <w:rFonts w:ascii="Times New Roman" w:eastAsia="Times New Roman" w:hAnsi="Times New Roman" w:cs="Times New Roman"/>
          <w:color w:val="212121"/>
          <w:sz w:val="24"/>
          <w:szCs w:val="24"/>
          <w:shd w:val="clear" w:color="auto" w:fill="FFFFFF"/>
        </w:rPr>
        <w:t xml:space="preserve">’s notice requirement </w:t>
      </w:r>
      <w:r w:rsidR="00F06B3E">
        <w:rPr>
          <w:rFonts w:ascii="Times New Roman" w:eastAsia="Times New Roman" w:hAnsi="Times New Roman" w:cs="Times New Roman"/>
          <w:color w:val="212121"/>
          <w:sz w:val="24"/>
          <w:szCs w:val="24"/>
          <w:shd w:val="clear" w:color="auto" w:fill="FFFFFF"/>
        </w:rPr>
        <w:t xml:space="preserve">in the context of </w:t>
      </w:r>
      <w:r w:rsidR="00C90788">
        <w:rPr>
          <w:rFonts w:ascii="Times New Roman" w:eastAsia="Times New Roman" w:hAnsi="Times New Roman" w:cs="Times New Roman"/>
          <w:color w:val="212121"/>
          <w:sz w:val="24"/>
          <w:szCs w:val="24"/>
          <w:shd w:val="clear" w:color="auto" w:fill="FFFFFF"/>
        </w:rPr>
        <w:t xml:space="preserve">personnel issues </w:t>
      </w:r>
      <w:r w:rsidR="00F06B3E">
        <w:rPr>
          <w:rFonts w:ascii="Times New Roman" w:eastAsia="Times New Roman" w:hAnsi="Times New Roman" w:cs="Times New Roman"/>
          <w:color w:val="212121"/>
          <w:sz w:val="24"/>
          <w:szCs w:val="24"/>
          <w:shd w:val="clear" w:color="auto" w:fill="FFFFFF"/>
        </w:rPr>
        <w:t xml:space="preserve">to be </w:t>
      </w:r>
      <w:r w:rsidR="00D17157">
        <w:rPr>
          <w:rFonts w:ascii="Times New Roman" w:eastAsia="Times New Roman" w:hAnsi="Times New Roman" w:cs="Times New Roman"/>
          <w:color w:val="212121"/>
          <w:sz w:val="24"/>
          <w:szCs w:val="24"/>
          <w:shd w:val="clear" w:color="auto" w:fill="FFFFFF"/>
        </w:rPr>
        <w:t>discussed by a public body</w:t>
      </w:r>
      <w:r w:rsidR="00DF7441">
        <w:rPr>
          <w:rFonts w:ascii="Times New Roman" w:eastAsia="Times New Roman" w:hAnsi="Times New Roman" w:cs="Times New Roman"/>
          <w:color w:val="212121"/>
          <w:sz w:val="24"/>
          <w:szCs w:val="24"/>
          <w:shd w:val="clear" w:color="auto" w:fill="FFFFFF"/>
        </w:rPr>
        <w:t>.</w:t>
      </w:r>
      <w:r w:rsidR="00C90788">
        <w:rPr>
          <w:rStyle w:val="FootnoteReference"/>
          <w:rFonts w:eastAsia="Times New Roman" w:cs="Times New Roman"/>
          <w:color w:val="212121"/>
          <w:sz w:val="24"/>
          <w:szCs w:val="24"/>
          <w:shd w:val="clear" w:color="auto" w:fill="FFFFFF"/>
        </w:rPr>
        <w:footnoteReference w:id="2"/>
      </w:r>
      <w:r w:rsidR="00C90788">
        <w:rPr>
          <w:rFonts w:ascii="Times New Roman" w:eastAsia="Times New Roman" w:hAnsi="Times New Roman" w:cs="Times New Roman"/>
          <w:color w:val="212121"/>
          <w:sz w:val="24"/>
          <w:szCs w:val="24"/>
          <w:shd w:val="clear" w:color="auto" w:fill="FFFFFF"/>
        </w:rPr>
        <w:t xml:space="preserve"> </w:t>
      </w:r>
      <w:r w:rsidR="00131B5C">
        <w:rPr>
          <w:rFonts w:ascii="Times New Roman" w:eastAsia="Times New Roman" w:hAnsi="Times New Roman" w:cs="Times New Roman"/>
          <w:color w:val="212121"/>
          <w:sz w:val="24"/>
          <w:szCs w:val="24"/>
          <w:shd w:val="clear" w:color="auto" w:fill="FFFFFF"/>
        </w:rPr>
        <w:t>T</w:t>
      </w:r>
      <w:r w:rsidR="00C90788">
        <w:rPr>
          <w:rFonts w:ascii="Times New Roman" w:eastAsia="Times New Roman" w:hAnsi="Times New Roman" w:cs="Times New Roman"/>
          <w:color w:val="212121"/>
          <w:sz w:val="24"/>
          <w:szCs w:val="24"/>
          <w:shd w:val="clear" w:color="auto" w:fill="FFFFFF"/>
        </w:rPr>
        <w:t>he</w:t>
      </w:r>
      <w:r w:rsidR="006F3A0A">
        <w:rPr>
          <w:rFonts w:ascii="Times New Roman" w:eastAsia="Times New Roman" w:hAnsi="Times New Roman" w:cs="Times New Roman"/>
          <w:color w:val="212121"/>
          <w:sz w:val="24"/>
          <w:szCs w:val="24"/>
          <w:shd w:val="clear" w:color="auto" w:fill="FFFFFF"/>
        </w:rPr>
        <w:t xml:space="preserve"> courts </w:t>
      </w:r>
      <w:r w:rsidR="00C90D61">
        <w:rPr>
          <w:rFonts w:ascii="Times New Roman" w:eastAsia="Times New Roman" w:hAnsi="Times New Roman" w:cs="Times New Roman"/>
          <w:color w:val="212121"/>
          <w:sz w:val="24"/>
          <w:szCs w:val="24"/>
          <w:shd w:val="clear" w:color="auto" w:fill="FFFFFF"/>
        </w:rPr>
        <w:t xml:space="preserve">also </w:t>
      </w:r>
      <w:r w:rsidR="006F3A0A">
        <w:rPr>
          <w:rFonts w:ascii="Times New Roman" w:eastAsia="Times New Roman" w:hAnsi="Times New Roman" w:cs="Times New Roman"/>
          <w:color w:val="212121"/>
          <w:sz w:val="24"/>
          <w:szCs w:val="24"/>
          <w:shd w:val="clear" w:color="auto" w:fill="FFFFFF"/>
        </w:rPr>
        <w:t>confronted the tim</w:t>
      </w:r>
      <w:r w:rsidR="00204317">
        <w:rPr>
          <w:rFonts w:ascii="Times New Roman" w:eastAsia="Times New Roman" w:hAnsi="Times New Roman" w:cs="Times New Roman"/>
          <w:color w:val="212121"/>
          <w:sz w:val="24"/>
          <w:szCs w:val="24"/>
          <w:shd w:val="clear" w:color="auto" w:fill="FFFFFF"/>
        </w:rPr>
        <w:t xml:space="preserve">e constraints under which a public body was required to release its </w:t>
      </w:r>
      <w:r w:rsidR="006F3A0A">
        <w:rPr>
          <w:rFonts w:ascii="Times New Roman" w:eastAsia="Times New Roman" w:hAnsi="Times New Roman" w:cs="Times New Roman"/>
          <w:color w:val="212121"/>
          <w:sz w:val="24"/>
          <w:szCs w:val="24"/>
          <w:shd w:val="clear" w:color="auto" w:fill="FFFFFF"/>
        </w:rPr>
        <w:t>minutes</w:t>
      </w:r>
      <w:r w:rsidR="00F06B3E">
        <w:rPr>
          <w:rFonts w:ascii="Times New Roman" w:eastAsia="Times New Roman" w:hAnsi="Times New Roman" w:cs="Times New Roman"/>
          <w:color w:val="212121"/>
          <w:sz w:val="24"/>
          <w:szCs w:val="24"/>
          <w:shd w:val="clear" w:color="auto" w:fill="FFFFFF"/>
        </w:rPr>
        <w:t>,</w:t>
      </w:r>
      <w:r w:rsidR="00D17157">
        <w:rPr>
          <w:rFonts w:ascii="Times New Roman" w:eastAsia="Times New Roman" w:hAnsi="Times New Roman" w:cs="Times New Roman"/>
          <w:color w:val="212121"/>
          <w:sz w:val="24"/>
          <w:szCs w:val="24"/>
          <w:shd w:val="clear" w:color="auto" w:fill="FFFFFF"/>
        </w:rPr>
        <w:t xml:space="preserve"> along with</w:t>
      </w:r>
      <w:r w:rsidR="006F3A0A">
        <w:rPr>
          <w:rFonts w:ascii="Times New Roman" w:eastAsia="Times New Roman" w:hAnsi="Times New Roman" w:cs="Times New Roman"/>
          <w:color w:val="212121"/>
          <w:sz w:val="24"/>
          <w:szCs w:val="24"/>
          <w:shd w:val="clear" w:color="auto" w:fill="FFFFFF"/>
        </w:rPr>
        <w:t xml:space="preserve"> the appropriate remedy </w:t>
      </w:r>
      <w:r w:rsidR="00204317">
        <w:rPr>
          <w:rFonts w:ascii="Times New Roman" w:eastAsia="Times New Roman" w:hAnsi="Times New Roman" w:cs="Times New Roman"/>
          <w:color w:val="212121"/>
          <w:sz w:val="24"/>
          <w:szCs w:val="24"/>
          <w:shd w:val="clear" w:color="auto" w:fill="FFFFFF"/>
        </w:rPr>
        <w:t xml:space="preserve">for </w:t>
      </w:r>
      <w:r w:rsidR="00131B5C">
        <w:rPr>
          <w:rFonts w:ascii="Times New Roman" w:eastAsia="Times New Roman" w:hAnsi="Times New Roman" w:cs="Times New Roman"/>
          <w:color w:val="212121"/>
          <w:sz w:val="24"/>
          <w:szCs w:val="24"/>
          <w:shd w:val="clear" w:color="auto" w:fill="FFFFFF"/>
        </w:rPr>
        <w:t>a</w:t>
      </w:r>
      <w:r w:rsidR="00204317">
        <w:rPr>
          <w:rFonts w:ascii="Times New Roman" w:eastAsia="Times New Roman" w:hAnsi="Times New Roman" w:cs="Times New Roman"/>
          <w:color w:val="212121"/>
          <w:sz w:val="24"/>
          <w:szCs w:val="24"/>
          <w:shd w:val="clear" w:color="auto" w:fill="FFFFFF"/>
        </w:rPr>
        <w:t xml:space="preserve"> failure to make these minutes</w:t>
      </w:r>
      <w:r w:rsidR="00046C71">
        <w:rPr>
          <w:rFonts w:ascii="Times New Roman" w:eastAsia="Times New Roman" w:hAnsi="Times New Roman" w:cs="Times New Roman"/>
          <w:color w:val="212121"/>
          <w:sz w:val="24"/>
          <w:szCs w:val="24"/>
          <w:shd w:val="clear" w:color="auto" w:fill="FFFFFF"/>
        </w:rPr>
        <w:t xml:space="preserve"> “promptly available” to the public</w:t>
      </w:r>
      <w:r w:rsidR="006F3A0A">
        <w:rPr>
          <w:rFonts w:ascii="Times New Roman" w:eastAsia="Times New Roman" w:hAnsi="Times New Roman" w:cs="Times New Roman"/>
          <w:color w:val="212121"/>
          <w:sz w:val="24"/>
          <w:szCs w:val="24"/>
          <w:shd w:val="clear" w:color="auto" w:fill="FFFFFF"/>
        </w:rPr>
        <w:t>.</w:t>
      </w:r>
      <w:r w:rsidR="006F3A0A">
        <w:rPr>
          <w:rStyle w:val="FootnoteReference"/>
          <w:rFonts w:eastAsia="Times New Roman" w:cs="Times New Roman"/>
          <w:color w:val="212121"/>
          <w:sz w:val="24"/>
          <w:szCs w:val="24"/>
          <w:shd w:val="clear" w:color="auto" w:fill="FFFFFF"/>
        </w:rPr>
        <w:footnoteReference w:id="3"/>
      </w:r>
      <w:r w:rsidR="006F3A0A">
        <w:rPr>
          <w:rFonts w:ascii="Times New Roman" w:eastAsia="Times New Roman" w:hAnsi="Times New Roman" w:cs="Times New Roman"/>
          <w:color w:val="212121"/>
          <w:sz w:val="24"/>
          <w:szCs w:val="24"/>
          <w:shd w:val="clear" w:color="auto" w:fill="FFFFFF"/>
        </w:rPr>
        <w:t xml:space="preserve"> </w:t>
      </w:r>
      <w:r w:rsidR="00D17157">
        <w:rPr>
          <w:rFonts w:ascii="Times New Roman" w:hAnsi="Times New Roman" w:cs="Times New Roman"/>
          <w:sz w:val="24"/>
          <w:szCs w:val="24"/>
        </w:rPr>
        <w:t xml:space="preserve">Over the past several months, there has </w:t>
      </w:r>
      <w:r w:rsidR="00AF56A1">
        <w:rPr>
          <w:rFonts w:ascii="Times New Roman" w:hAnsi="Times New Roman" w:cs="Times New Roman"/>
          <w:sz w:val="24"/>
          <w:szCs w:val="24"/>
        </w:rPr>
        <w:t xml:space="preserve">also </w:t>
      </w:r>
      <w:r w:rsidR="00D17157">
        <w:rPr>
          <w:rFonts w:ascii="Times New Roman" w:hAnsi="Times New Roman" w:cs="Times New Roman"/>
          <w:sz w:val="24"/>
          <w:szCs w:val="24"/>
        </w:rPr>
        <w:t xml:space="preserve">been </w:t>
      </w:r>
      <w:r w:rsidR="00AF56A1">
        <w:rPr>
          <w:rFonts w:ascii="Times New Roman" w:hAnsi="Times New Roman" w:cs="Times New Roman"/>
          <w:sz w:val="24"/>
          <w:szCs w:val="24"/>
        </w:rPr>
        <w:t>legislative activity regarding</w:t>
      </w:r>
      <w:r w:rsidR="00D17157">
        <w:rPr>
          <w:rFonts w:ascii="Times New Roman" w:hAnsi="Times New Roman" w:cs="Times New Roman"/>
          <w:sz w:val="24"/>
          <w:szCs w:val="24"/>
        </w:rPr>
        <w:t xml:space="preserve"> the OPMA. </w:t>
      </w:r>
    </w:p>
    <w:p w:rsidR="00D92B3B" w:rsidRDefault="00D92B3B" w:rsidP="008527A7">
      <w:pPr>
        <w:spacing w:line="276" w:lineRule="auto"/>
        <w:ind w:firstLine="720"/>
        <w:jc w:val="both"/>
        <w:rPr>
          <w:rFonts w:ascii="Times New Roman" w:hAnsi="Times New Roman" w:cs="Times New Roman"/>
          <w:sz w:val="24"/>
          <w:szCs w:val="24"/>
        </w:rPr>
      </w:pPr>
    </w:p>
    <w:p w:rsidR="00C90788" w:rsidRDefault="00DF7441" w:rsidP="008527A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w:t>
      </w:r>
      <w:r w:rsidR="00AF56A1">
        <w:rPr>
          <w:rFonts w:ascii="Times New Roman" w:hAnsi="Times New Roman" w:cs="Times New Roman"/>
          <w:sz w:val="24"/>
          <w:szCs w:val="24"/>
        </w:rPr>
        <w:t xml:space="preserve">this Memorandum is provided </w:t>
      </w:r>
      <w:r w:rsidR="00C90788">
        <w:rPr>
          <w:rFonts w:ascii="Times New Roman" w:hAnsi="Times New Roman" w:cs="Times New Roman"/>
          <w:sz w:val="24"/>
          <w:szCs w:val="24"/>
        </w:rPr>
        <w:t xml:space="preserve">to update the Commission </w:t>
      </w:r>
      <w:r w:rsidR="00046C71">
        <w:rPr>
          <w:rFonts w:ascii="Times New Roman" w:hAnsi="Times New Roman" w:cs="Times New Roman"/>
          <w:sz w:val="24"/>
          <w:szCs w:val="24"/>
        </w:rPr>
        <w:t>regarding</w:t>
      </w:r>
      <w:r w:rsidR="00C90788">
        <w:rPr>
          <w:rFonts w:ascii="Times New Roman" w:hAnsi="Times New Roman" w:cs="Times New Roman"/>
          <w:sz w:val="24"/>
          <w:szCs w:val="24"/>
        </w:rPr>
        <w:t xml:space="preserve"> the </w:t>
      </w:r>
      <w:r w:rsidR="006F3A0A">
        <w:rPr>
          <w:rFonts w:ascii="Times New Roman" w:hAnsi="Times New Roman" w:cs="Times New Roman"/>
          <w:sz w:val="24"/>
          <w:szCs w:val="24"/>
        </w:rPr>
        <w:t xml:space="preserve">recent </w:t>
      </w:r>
      <w:r w:rsidR="00C90788">
        <w:rPr>
          <w:rFonts w:ascii="Times New Roman" w:hAnsi="Times New Roman" w:cs="Times New Roman"/>
          <w:sz w:val="24"/>
          <w:szCs w:val="24"/>
        </w:rPr>
        <w:t xml:space="preserve">New Jersey Supreme Court </w:t>
      </w:r>
      <w:r w:rsidR="006F3A0A">
        <w:rPr>
          <w:rFonts w:ascii="Times New Roman" w:hAnsi="Times New Roman" w:cs="Times New Roman"/>
          <w:sz w:val="24"/>
          <w:szCs w:val="24"/>
        </w:rPr>
        <w:t xml:space="preserve">decision </w:t>
      </w:r>
      <w:r w:rsidR="00C90788">
        <w:rPr>
          <w:rFonts w:ascii="Times New Roman" w:hAnsi="Times New Roman" w:cs="Times New Roman"/>
          <w:sz w:val="24"/>
          <w:szCs w:val="24"/>
        </w:rPr>
        <w:t xml:space="preserve">in the matter of </w:t>
      </w:r>
      <w:r w:rsidR="00C90788">
        <w:rPr>
          <w:rFonts w:ascii="Times New Roman" w:hAnsi="Times New Roman" w:cs="Times New Roman"/>
          <w:i/>
          <w:sz w:val="24"/>
          <w:szCs w:val="24"/>
        </w:rPr>
        <w:t>Kean Federation of Teachers v. Morel</w:t>
      </w:r>
      <w:r w:rsidR="00C90788">
        <w:rPr>
          <w:rStyle w:val="FootnoteReference"/>
          <w:rFonts w:cs="Times New Roman"/>
          <w:sz w:val="24"/>
          <w:szCs w:val="24"/>
        </w:rPr>
        <w:footnoteReference w:id="4"/>
      </w:r>
      <w:r w:rsidR="00C90788">
        <w:rPr>
          <w:rFonts w:ascii="Times New Roman" w:hAnsi="Times New Roman" w:cs="Times New Roman"/>
          <w:sz w:val="24"/>
          <w:szCs w:val="24"/>
        </w:rPr>
        <w:t xml:space="preserve"> </w:t>
      </w:r>
      <w:r w:rsidR="002F2D28">
        <w:rPr>
          <w:rFonts w:ascii="Times New Roman" w:hAnsi="Times New Roman" w:cs="Times New Roman"/>
          <w:sz w:val="24"/>
          <w:szCs w:val="24"/>
        </w:rPr>
        <w:t>and other developments.</w:t>
      </w:r>
      <w:r w:rsidR="00C90788">
        <w:rPr>
          <w:rStyle w:val="FootnoteReference"/>
          <w:rFonts w:cs="Times New Roman"/>
          <w:sz w:val="24"/>
          <w:szCs w:val="24"/>
        </w:rPr>
        <w:footnoteReference w:id="5"/>
      </w:r>
    </w:p>
    <w:p w:rsidR="00922C9F" w:rsidRDefault="00922C9F" w:rsidP="008527A7">
      <w:pPr>
        <w:spacing w:line="276" w:lineRule="auto"/>
        <w:ind w:firstLine="720"/>
        <w:jc w:val="both"/>
        <w:rPr>
          <w:rFonts w:ascii="Times New Roman" w:hAnsi="Times New Roman" w:cs="Times New Roman"/>
          <w:sz w:val="24"/>
          <w:szCs w:val="24"/>
        </w:rPr>
      </w:pPr>
    </w:p>
    <w:p w:rsidR="00922C9F" w:rsidRDefault="00922C9F" w:rsidP="008527A7">
      <w:pPr>
        <w:spacing w:line="276" w:lineRule="auto"/>
        <w:jc w:val="center"/>
        <w:rPr>
          <w:rFonts w:ascii="Times New Roman" w:hAnsi="Times New Roman" w:cs="Times New Roman"/>
          <w:sz w:val="24"/>
          <w:szCs w:val="24"/>
        </w:rPr>
      </w:pPr>
      <w:r>
        <w:rPr>
          <w:rFonts w:ascii="Times New Roman" w:hAnsi="Times New Roman" w:cs="Times New Roman"/>
          <w:b/>
          <w:sz w:val="24"/>
          <w:szCs w:val="24"/>
        </w:rPr>
        <w:t>Background</w:t>
      </w:r>
    </w:p>
    <w:p w:rsidR="004F640C" w:rsidRPr="004F640C" w:rsidRDefault="004F640C" w:rsidP="008527A7">
      <w:pPr>
        <w:spacing w:line="276" w:lineRule="auto"/>
        <w:ind w:firstLine="720"/>
        <w:jc w:val="both"/>
        <w:rPr>
          <w:rFonts w:ascii="Times New Roman" w:hAnsi="Times New Roman" w:cs="Times New Roman"/>
          <w:i/>
          <w:sz w:val="24"/>
          <w:szCs w:val="24"/>
        </w:rPr>
      </w:pPr>
      <w:r w:rsidRPr="004F640C">
        <w:rPr>
          <w:rFonts w:ascii="Segoe UI Semilight" w:hAnsi="Segoe UI Semilight" w:cs="Segoe UI Semilight"/>
          <w:i/>
          <w:sz w:val="24"/>
          <w:szCs w:val="24"/>
        </w:rPr>
        <w:t>•</w:t>
      </w:r>
      <w:r w:rsidRPr="004F640C">
        <w:rPr>
          <w:rFonts w:ascii="Times New Roman" w:hAnsi="Times New Roman" w:cs="Times New Roman"/>
          <w:i/>
          <w:sz w:val="24"/>
          <w:szCs w:val="24"/>
        </w:rPr>
        <w:t xml:space="preserve"> The Trial Court </w:t>
      </w:r>
    </w:p>
    <w:p w:rsidR="004F640C" w:rsidRDefault="004F640C" w:rsidP="008527A7">
      <w:pPr>
        <w:spacing w:line="276" w:lineRule="auto"/>
        <w:ind w:firstLine="720"/>
        <w:jc w:val="both"/>
        <w:rPr>
          <w:rFonts w:ascii="Times New Roman" w:hAnsi="Times New Roman" w:cs="Times New Roman"/>
          <w:sz w:val="24"/>
          <w:szCs w:val="24"/>
        </w:rPr>
      </w:pPr>
    </w:p>
    <w:p w:rsidR="00922C9F" w:rsidRDefault="00922C9F" w:rsidP="008527A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6B0039">
        <w:rPr>
          <w:rFonts w:ascii="Times New Roman" w:hAnsi="Times New Roman" w:cs="Times New Roman"/>
          <w:i/>
          <w:sz w:val="24"/>
          <w:szCs w:val="24"/>
        </w:rPr>
        <w:t>Kean Fe</w:t>
      </w:r>
      <w:r>
        <w:rPr>
          <w:rFonts w:ascii="Times New Roman" w:hAnsi="Times New Roman" w:cs="Times New Roman"/>
          <w:i/>
          <w:sz w:val="24"/>
          <w:szCs w:val="24"/>
        </w:rPr>
        <w:t xml:space="preserve">deration </w:t>
      </w:r>
      <w:r w:rsidRPr="006B0039">
        <w:rPr>
          <w:rFonts w:ascii="Times New Roman" w:hAnsi="Times New Roman" w:cs="Times New Roman"/>
          <w:i/>
          <w:sz w:val="24"/>
          <w:szCs w:val="24"/>
        </w:rPr>
        <w:t>of T</w:t>
      </w:r>
      <w:r>
        <w:rPr>
          <w:rFonts w:ascii="Times New Roman" w:hAnsi="Times New Roman" w:cs="Times New Roman"/>
          <w:i/>
          <w:sz w:val="24"/>
          <w:szCs w:val="24"/>
        </w:rPr>
        <w:t>eac</w:t>
      </w:r>
      <w:r w:rsidRPr="006B0039">
        <w:rPr>
          <w:rFonts w:ascii="Times New Roman" w:hAnsi="Times New Roman" w:cs="Times New Roman"/>
          <w:i/>
          <w:sz w:val="24"/>
          <w:szCs w:val="24"/>
        </w:rPr>
        <w:t>hers v. Morell</w:t>
      </w:r>
      <w:r>
        <w:rPr>
          <w:rFonts w:ascii="Times New Roman" w:hAnsi="Times New Roman" w:cs="Times New Roman"/>
          <w:i/>
          <w:sz w:val="24"/>
          <w:szCs w:val="24"/>
        </w:rPr>
        <w:t xml:space="preserve">, </w:t>
      </w:r>
      <w:r w:rsidRPr="00E80B22">
        <w:rPr>
          <w:rFonts w:ascii="Times New Roman" w:hAnsi="Times New Roman" w:cs="Times New Roman"/>
          <w:sz w:val="24"/>
          <w:szCs w:val="24"/>
        </w:rPr>
        <w:t>the plaintiffs</w:t>
      </w:r>
      <w:r>
        <w:rPr>
          <w:rFonts w:ascii="Times New Roman" w:hAnsi="Times New Roman" w:cs="Times New Roman"/>
          <w:sz w:val="24"/>
          <w:szCs w:val="24"/>
        </w:rPr>
        <w:t xml:space="preserve"> alleged that the Board of Trustees of Kean University </w:t>
      </w:r>
      <w:r w:rsidR="00936AB3">
        <w:rPr>
          <w:rFonts w:ascii="Times New Roman" w:hAnsi="Times New Roman" w:cs="Times New Roman"/>
          <w:sz w:val="24"/>
          <w:szCs w:val="24"/>
        </w:rPr>
        <w:t xml:space="preserve">(the “Board”) </w:t>
      </w:r>
      <w:r>
        <w:rPr>
          <w:rFonts w:ascii="Times New Roman" w:hAnsi="Times New Roman" w:cs="Times New Roman"/>
          <w:sz w:val="24"/>
          <w:szCs w:val="24"/>
        </w:rPr>
        <w:t xml:space="preserve">violated the OPMA when it failed to make the Board’s minutes from </w:t>
      </w:r>
      <w:r w:rsidR="005D6422">
        <w:rPr>
          <w:rFonts w:ascii="Times New Roman" w:hAnsi="Times New Roman" w:cs="Times New Roman"/>
          <w:sz w:val="24"/>
          <w:szCs w:val="24"/>
        </w:rPr>
        <w:t xml:space="preserve">both </w:t>
      </w:r>
      <w:r w:rsidR="00DF7441">
        <w:rPr>
          <w:rFonts w:ascii="Times New Roman" w:hAnsi="Times New Roman" w:cs="Times New Roman"/>
          <w:sz w:val="24"/>
          <w:szCs w:val="24"/>
        </w:rPr>
        <w:t>its</w:t>
      </w:r>
      <w:r>
        <w:rPr>
          <w:rFonts w:ascii="Times New Roman" w:hAnsi="Times New Roman" w:cs="Times New Roman"/>
          <w:sz w:val="24"/>
          <w:szCs w:val="24"/>
        </w:rPr>
        <w:t xml:space="preserve"> September and December 2014 meetings “promptly available” </w:t>
      </w:r>
      <w:r w:rsidR="005D6422">
        <w:rPr>
          <w:rFonts w:ascii="Times New Roman" w:hAnsi="Times New Roman" w:cs="Times New Roman"/>
          <w:sz w:val="24"/>
          <w:szCs w:val="24"/>
        </w:rPr>
        <w:t>to members of the public</w:t>
      </w:r>
      <w:r>
        <w:rPr>
          <w:rFonts w:ascii="Times New Roman" w:hAnsi="Times New Roman" w:cs="Times New Roman"/>
          <w:sz w:val="24"/>
          <w:szCs w:val="24"/>
        </w:rPr>
        <w:t>.</w:t>
      </w:r>
      <w:r>
        <w:rPr>
          <w:rStyle w:val="FootnoteReference"/>
          <w:rFonts w:cs="Times New Roman"/>
          <w:sz w:val="24"/>
          <w:szCs w:val="24"/>
        </w:rPr>
        <w:footnoteReference w:id="6"/>
      </w:r>
      <w:r>
        <w:rPr>
          <w:rFonts w:ascii="Times New Roman" w:hAnsi="Times New Roman" w:cs="Times New Roman"/>
          <w:sz w:val="24"/>
          <w:szCs w:val="24"/>
        </w:rPr>
        <w:t xml:space="preserve"> </w:t>
      </w:r>
      <w:r w:rsidR="00DF7441">
        <w:rPr>
          <w:rFonts w:ascii="Times New Roman" w:hAnsi="Times New Roman" w:cs="Times New Roman"/>
          <w:sz w:val="24"/>
          <w:szCs w:val="24"/>
        </w:rPr>
        <w:t>The litigants did not</w:t>
      </w:r>
      <w:r>
        <w:rPr>
          <w:rFonts w:ascii="Times New Roman" w:hAnsi="Times New Roman" w:cs="Times New Roman"/>
          <w:sz w:val="24"/>
          <w:szCs w:val="24"/>
        </w:rPr>
        <w:t xml:space="preserve"> contest that the September minutes were not made available to the public until ninety-four days after the meeting and the December minutes were only made available to the public fifty-eight days after that meeting.</w:t>
      </w:r>
      <w:r>
        <w:rPr>
          <w:rStyle w:val="FootnoteReference"/>
          <w:rFonts w:cs="Times New Roman"/>
          <w:sz w:val="24"/>
          <w:szCs w:val="24"/>
        </w:rPr>
        <w:footnoteReference w:id="7"/>
      </w:r>
      <w:r>
        <w:rPr>
          <w:rFonts w:ascii="Times New Roman" w:hAnsi="Times New Roman" w:cs="Times New Roman"/>
          <w:sz w:val="24"/>
          <w:szCs w:val="24"/>
        </w:rPr>
        <w:t xml:space="preserve"> The plaintiffs further alleged that the Board terminated </w:t>
      </w:r>
      <w:r w:rsidR="00DE7042">
        <w:rPr>
          <w:rFonts w:ascii="Times New Roman" w:hAnsi="Times New Roman" w:cs="Times New Roman"/>
          <w:sz w:val="24"/>
          <w:szCs w:val="24"/>
        </w:rPr>
        <w:t>a</w:t>
      </w:r>
      <w:r>
        <w:rPr>
          <w:rFonts w:ascii="Times New Roman" w:hAnsi="Times New Roman" w:cs="Times New Roman"/>
          <w:sz w:val="24"/>
          <w:szCs w:val="24"/>
        </w:rPr>
        <w:t xml:space="preserve"> faculty member, Valera Hascup, without sending her the requisite notice required by </w:t>
      </w:r>
      <w:r>
        <w:rPr>
          <w:rFonts w:ascii="Times New Roman" w:hAnsi="Times New Roman" w:cs="Times New Roman"/>
          <w:i/>
          <w:sz w:val="24"/>
          <w:szCs w:val="24"/>
        </w:rPr>
        <w:t xml:space="preserve">Rice v. Union </w:t>
      </w:r>
      <w:proofErr w:type="spellStart"/>
      <w:r>
        <w:rPr>
          <w:rFonts w:ascii="Times New Roman" w:hAnsi="Times New Roman" w:cs="Times New Roman"/>
          <w:i/>
          <w:sz w:val="24"/>
          <w:szCs w:val="24"/>
        </w:rPr>
        <w:t>Cnty</w:t>
      </w:r>
      <w:proofErr w:type="spellEnd"/>
      <w:r w:rsidR="00DE7042">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Reg</w:t>
      </w:r>
      <w:r w:rsidR="00DE7042">
        <w:rPr>
          <w:rFonts w:ascii="Times New Roman" w:hAnsi="Times New Roman" w:cs="Times New Roman"/>
          <w:i/>
          <w:sz w:val="24"/>
          <w:szCs w:val="24"/>
        </w:rPr>
        <w:t>’</w:t>
      </w:r>
      <w:r>
        <w:rPr>
          <w:rFonts w:ascii="Times New Roman" w:hAnsi="Times New Roman" w:cs="Times New Roman"/>
          <w:i/>
          <w:sz w:val="24"/>
          <w:szCs w:val="24"/>
        </w:rPr>
        <w:t>l</w:t>
      </w:r>
      <w:proofErr w:type="spellEnd"/>
      <w:r>
        <w:rPr>
          <w:rFonts w:ascii="Times New Roman" w:hAnsi="Times New Roman" w:cs="Times New Roman"/>
          <w:i/>
          <w:sz w:val="24"/>
          <w:szCs w:val="24"/>
        </w:rPr>
        <w:t xml:space="preserve"> High Sch</w:t>
      </w:r>
      <w:r w:rsidR="00DE7042">
        <w:rPr>
          <w:rFonts w:ascii="Times New Roman" w:hAnsi="Times New Roman" w:cs="Times New Roman"/>
          <w:i/>
          <w:sz w:val="24"/>
          <w:szCs w:val="24"/>
        </w:rPr>
        <w:t>.</w:t>
      </w:r>
      <w:r>
        <w:rPr>
          <w:rFonts w:ascii="Times New Roman" w:hAnsi="Times New Roman" w:cs="Times New Roman"/>
          <w:i/>
          <w:sz w:val="24"/>
          <w:szCs w:val="24"/>
        </w:rPr>
        <w:t xml:space="preserve"> Bd</w:t>
      </w:r>
      <w:r w:rsidR="00DE7042">
        <w:rPr>
          <w:rFonts w:ascii="Times New Roman" w:hAnsi="Times New Roman" w:cs="Times New Roman"/>
          <w:i/>
          <w:sz w:val="24"/>
          <w:szCs w:val="24"/>
        </w:rPr>
        <w:t>. of Ed.</w:t>
      </w:r>
      <w:r w:rsidR="00DE7042" w:rsidRPr="00DE7042">
        <w:rPr>
          <w:rStyle w:val="FootnoteReference"/>
          <w:rFonts w:cs="Times New Roman"/>
          <w:sz w:val="24"/>
          <w:szCs w:val="24"/>
        </w:rPr>
        <w:footnoteReference w:id="8"/>
      </w:r>
      <w:r w:rsidR="00DE7042" w:rsidRPr="00DE7042">
        <w:rPr>
          <w:rFonts w:ascii="Times New Roman" w:hAnsi="Times New Roman" w:cs="Times New Roman"/>
          <w:i/>
          <w:sz w:val="24"/>
          <w:szCs w:val="24"/>
          <w:vertAlign w:val="superscript"/>
        </w:rPr>
        <w:t>,</w:t>
      </w:r>
      <w:r w:rsidR="00472031">
        <w:rPr>
          <w:rFonts w:ascii="Times New Roman" w:hAnsi="Times New Roman" w:cs="Times New Roman"/>
          <w:i/>
          <w:sz w:val="24"/>
          <w:szCs w:val="24"/>
          <w:vertAlign w:val="superscript"/>
        </w:rPr>
        <w:t xml:space="preserve"> </w:t>
      </w:r>
      <w:r>
        <w:rPr>
          <w:rStyle w:val="FootnoteReference"/>
          <w:rFonts w:cs="Times New Roman"/>
          <w:sz w:val="24"/>
          <w:szCs w:val="24"/>
        </w:rPr>
        <w:footnoteReference w:id="9"/>
      </w:r>
      <w:r>
        <w:rPr>
          <w:rFonts w:ascii="Times New Roman" w:hAnsi="Times New Roman" w:cs="Times New Roman"/>
          <w:sz w:val="24"/>
          <w:szCs w:val="24"/>
        </w:rPr>
        <w:t xml:space="preserve"> </w:t>
      </w:r>
      <w:r w:rsidR="00DF7441">
        <w:rPr>
          <w:rFonts w:ascii="Times New Roman" w:hAnsi="Times New Roman" w:cs="Times New Roman"/>
          <w:sz w:val="24"/>
          <w:szCs w:val="24"/>
        </w:rPr>
        <w:t xml:space="preserve">The defendants </w:t>
      </w:r>
      <w:r w:rsidR="00DF7441">
        <w:rPr>
          <w:rFonts w:ascii="Times New Roman" w:hAnsi="Times New Roman" w:cs="Times New Roman"/>
          <w:sz w:val="24"/>
          <w:szCs w:val="24"/>
        </w:rPr>
        <w:lastRenderedPageBreak/>
        <w:t>maintain that t</w:t>
      </w:r>
      <w:r w:rsidR="00B2215C">
        <w:rPr>
          <w:rFonts w:ascii="Times New Roman" w:hAnsi="Times New Roman" w:cs="Times New Roman"/>
          <w:sz w:val="24"/>
          <w:szCs w:val="24"/>
        </w:rPr>
        <w:t xml:space="preserve">he </w:t>
      </w:r>
      <w:r w:rsidR="008A64A9">
        <w:rPr>
          <w:rFonts w:ascii="Times New Roman" w:hAnsi="Times New Roman" w:cs="Times New Roman"/>
          <w:sz w:val="24"/>
          <w:szCs w:val="24"/>
        </w:rPr>
        <w:t>Board’s vote, not to reappoint the plaintiff</w:t>
      </w:r>
      <w:r w:rsidR="00472031">
        <w:rPr>
          <w:rFonts w:ascii="Times New Roman" w:hAnsi="Times New Roman" w:cs="Times New Roman"/>
          <w:sz w:val="24"/>
          <w:szCs w:val="24"/>
        </w:rPr>
        <w:t xml:space="preserve"> </w:t>
      </w:r>
      <w:proofErr w:type="spellStart"/>
      <w:r w:rsidR="008A64A9">
        <w:rPr>
          <w:rFonts w:ascii="Times New Roman" w:hAnsi="Times New Roman" w:cs="Times New Roman"/>
          <w:sz w:val="24"/>
          <w:szCs w:val="24"/>
        </w:rPr>
        <w:t>Hascup</w:t>
      </w:r>
      <w:proofErr w:type="spellEnd"/>
      <w:r w:rsidR="008A64A9">
        <w:rPr>
          <w:rFonts w:ascii="Times New Roman" w:hAnsi="Times New Roman" w:cs="Times New Roman"/>
          <w:sz w:val="24"/>
          <w:szCs w:val="24"/>
        </w:rPr>
        <w:t xml:space="preserve"> occurred during the public portion of its meeting</w:t>
      </w:r>
      <w:r w:rsidR="00DF7441">
        <w:rPr>
          <w:rFonts w:ascii="Times New Roman" w:hAnsi="Times New Roman" w:cs="Times New Roman"/>
          <w:sz w:val="24"/>
          <w:szCs w:val="24"/>
        </w:rPr>
        <w:t xml:space="preserve"> and that a </w:t>
      </w:r>
      <w:r w:rsidR="00DF7441">
        <w:rPr>
          <w:rFonts w:ascii="Times New Roman" w:hAnsi="Times New Roman" w:cs="Times New Roman"/>
          <w:i/>
          <w:sz w:val="24"/>
          <w:szCs w:val="24"/>
        </w:rPr>
        <w:t xml:space="preserve">Rice </w:t>
      </w:r>
      <w:r w:rsidR="00DF7441">
        <w:rPr>
          <w:rFonts w:ascii="Times New Roman" w:hAnsi="Times New Roman" w:cs="Times New Roman"/>
          <w:sz w:val="24"/>
          <w:szCs w:val="24"/>
        </w:rPr>
        <w:t>notice was therefore not required to be sent to the plaintiff.</w:t>
      </w:r>
      <w:r w:rsidR="008A64A9">
        <w:rPr>
          <w:rStyle w:val="FootnoteReference"/>
          <w:rFonts w:cs="Times New Roman"/>
          <w:sz w:val="24"/>
          <w:szCs w:val="24"/>
        </w:rPr>
        <w:footnoteReference w:id="10"/>
      </w:r>
      <w:r w:rsidR="008A64A9">
        <w:rPr>
          <w:rFonts w:ascii="Times New Roman" w:hAnsi="Times New Roman" w:cs="Times New Roman"/>
          <w:sz w:val="24"/>
          <w:szCs w:val="24"/>
        </w:rPr>
        <w:t xml:space="preserve"> </w:t>
      </w:r>
    </w:p>
    <w:p w:rsidR="005B2456" w:rsidRDefault="005B2456" w:rsidP="008527A7">
      <w:pPr>
        <w:spacing w:line="276" w:lineRule="auto"/>
        <w:ind w:firstLine="720"/>
        <w:jc w:val="both"/>
        <w:rPr>
          <w:rFonts w:ascii="Times New Roman" w:hAnsi="Times New Roman" w:cs="Times New Roman"/>
          <w:sz w:val="24"/>
          <w:szCs w:val="24"/>
        </w:rPr>
      </w:pPr>
    </w:p>
    <w:p w:rsidR="001142C6" w:rsidRDefault="00922C9F" w:rsidP="008527A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trial court granted summary judgment for plaintiffs as </w:t>
      </w:r>
      <w:r w:rsidR="00472031">
        <w:rPr>
          <w:rFonts w:ascii="Times New Roman" w:hAnsi="Times New Roman" w:cs="Times New Roman"/>
          <w:sz w:val="24"/>
          <w:szCs w:val="24"/>
        </w:rPr>
        <w:t xml:space="preserve">to </w:t>
      </w:r>
      <w:r w:rsidR="00DF7441">
        <w:rPr>
          <w:rFonts w:ascii="Times New Roman" w:hAnsi="Times New Roman" w:cs="Times New Roman"/>
          <w:sz w:val="24"/>
          <w:szCs w:val="24"/>
        </w:rPr>
        <w:t xml:space="preserve">the defendant’s untimely </w:t>
      </w:r>
      <w:r w:rsidR="00476204">
        <w:rPr>
          <w:rFonts w:ascii="Times New Roman" w:hAnsi="Times New Roman" w:cs="Times New Roman"/>
          <w:sz w:val="24"/>
          <w:szCs w:val="24"/>
        </w:rPr>
        <w:t>disseminati</w:t>
      </w:r>
      <w:r w:rsidR="00DF7441">
        <w:rPr>
          <w:rFonts w:ascii="Times New Roman" w:hAnsi="Times New Roman" w:cs="Times New Roman"/>
          <w:sz w:val="24"/>
          <w:szCs w:val="24"/>
        </w:rPr>
        <w:t>o</w:t>
      </w:r>
      <w:r w:rsidR="00476204">
        <w:rPr>
          <w:rFonts w:ascii="Times New Roman" w:hAnsi="Times New Roman" w:cs="Times New Roman"/>
          <w:sz w:val="24"/>
          <w:szCs w:val="24"/>
        </w:rPr>
        <w:t xml:space="preserve">n </w:t>
      </w:r>
      <w:r w:rsidR="00DF7441">
        <w:rPr>
          <w:rFonts w:ascii="Times New Roman" w:hAnsi="Times New Roman" w:cs="Times New Roman"/>
          <w:sz w:val="24"/>
          <w:szCs w:val="24"/>
        </w:rPr>
        <w:t xml:space="preserve">of </w:t>
      </w:r>
      <w:r w:rsidR="00476204">
        <w:rPr>
          <w:rFonts w:ascii="Times New Roman" w:hAnsi="Times New Roman" w:cs="Times New Roman"/>
          <w:sz w:val="24"/>
          <w:szCs w:val="24"/>
        </w:rPr>
        <w:t xml:space="preserve">the </w:t>
      </w:r>
      <w:r>
        <w:rPr>
          <w:rFonts w:ascii="Times New Roman" w:hAnsi="Times New Roman" w:cs="Times New Roman"/>
          <w:sz w:val="24"/>
          <w:szCs w:val="24"/>
        </w:rPr>
        <w:t>meeting minutes</w:t>
      </w:r>
      <w:r w:rsidR="00476204">
        <w:rPr>
          <w:rFonts w:ascii="Times New Roman" w:hAnsi="Times New Roman" w:cs="Times New Roman"/>
          <w:sz w:val="24"/>
          <w:szCs w:val="24"/>
        </w:rPr>
        <w:t xml:space="preserve"> to the public</w:t>
      </w:r>
      <w:r>
        <w:rPr>
          <w:rFonts w:ascii="Times New Roman" w:hAnsi="Times New Roman" w:cs="Times New Roman"/>
          <w:sz w:val="24"/>
          <w:szCs w:val="24"/>
        </w:rPr>
        <w:t>.</w:t>
      </w:r>
      <w:r>
        <w:rPr>
          <w:rStyle w:val="FootnoteReference"/>
          <w:rFonts w:cs="Times New Roman"/>
          <w:sz w:val="24"/>
          <w:szCs w:val="24"/>
        </w:rPr>
        <w:footnoteReference w:id="11"/>
      </w:r>
      <w:r>
        <w:rPr>
          <w:rFonts w:ascii="Times New Roman" w:hAnsi="Times New Roman" w:cs="Times New Roman"/>
          <w:sz w:val="24"/>
          <w:szCs w:val="24"/>
        </w:rPr>
        <w:t xml:space="preserve"> </w:t>
      </w:r>
      <w:r w:rsidR="00DF7441">
        <w:rPr>
          <w:rFonts w:ascii="Times New Roman" w:hAnsi="Times New Roman" w:cs="Times New Roman"/>
          <w:sz w:val="24"/>
          <w:szCs w:val="24"/>
        </w:rPr>
        <w:t>Ultimately, i</w:t>
      </w:r>
      <w:r>
        <w:rPr>
          <w:rFonts w:ascii="Times New Roman" w:hAnsi="Times New Roman" w:cs="Times New Roman"/>
          <w:sz w:val="24"/>
          <w:szCs w:val="24"/>
        </w:rPr>
        <w:t xml:space="preserve">n </w:t>
      </w:r>
      <w:r w:rsidR="00823BC8">
        <w:rPr>
          <w:rFonts w:ascii="Times New Roman" w:hAnsi="Times New Roman" w:cs="Times New Roman"/>
          <w:sz w:val="24"/>
          <w:szCs w:val="24"/>
        </w:rPr>
        <w:t xml:space="preserve">an </w:t>
      </w:r>
      <w:r>
        <w:rPr>
          <w:rFonts w:ascii="Times New Roman" w:hAnsi="Times New Roman" w:cs="Times New Roman"/>
          <w:sz w:val="24"/>
          <w:szCs w:val="24"/>
        </w:rPr>
        <w:t xml:space="preserve">attempt to remedy </w:t>
      </w:r>
      <w:r w:rsidR="00DF7441">
        <w:rPr>
          <w:rFonts w:ascii="Times New Roman" w:hAnsi="Times New Roman" w:cs="Times New Roman"/>
          <w:sz w:val="24"/>
          <w:szCs w:val="24"/>
        </w:rPr>
        <w:t xml:space="preserve">further violations of </w:t>
      </w:r>
      <w:r>
        <w:rPr>
          <w:rFonts w:ascii="Times New Roman" w:hAnsi="Times New Roman" w:cs="Times New Roman"/>
          <w:sz w:val="24"/>
          <w:szCs w:val="24"/>
        </w:rPr>
        <w:t xml:space="preserve">the OPMA, the trial court issued a permanent injunction that required the Board to make its minutes available to the public within </w:t>
      </w:r>
      <w:r w:rsidR="000915FA">
        <w:rPr>
          <w:rFonts w:ascii="Times New Roman" w:hAnsi="Times New Roman" w:cs="Times New Roman"/>
          <w:sz w:val="24"/>
          <w:szCs w:val="24"/>
        </w:rPr>
        <w:t xml:space="preserve">the </w:t>
      </w:r>
      <w:r>
        <w:rPr>
          <w:rFonts w:ascii="Times New Roman" w:hAnsi="Times New Roman" w:cs="Times New Roman"/>
          <w:sz w:val="24"/>
          <w:szCs w:val="24"/>
        </w:rPr>
        <w:t xml:space="preserve">45 days following </w:t>
      </w:r>
      <w:r w:rsidR="000915FA">
        <w:rPr>
          <w:rFonts w:ascii="Times New Roman" w:hAnsi="Times New Roman" w:cs="Times New Roman"/>
          <w:sz w:val="24"/>
          <w:szCs w:val="24"/>
        </w:rPr>
        <w:t>a</w:t>
      </w:r>
      <w:r>
        <w:rPr>
          <w:rFonts w:ascii="Times New Roman" w:hAnsi="Times New Roman" w:cs="Times New Roman"/>
          <w:sz w:val="24"/>
          <w:szCs w:val="24"/>
        </w:rPr>
        <w:t xml:space="preserve"> meeting.</w:t>
      </w:r>
      <w:r>
        <w:rPr>
          <w:rStyle w:val="FootnoteReference"/>
          <w:rFonts w:cs="Times New Roman"/>
          <w:sz w:val="24"/>
          <w:szCs w:val="24"/>
        </w:rPr>
        <w:footnoteReference w:id="12"/>
      </w:r>
      <w:r>
        <w:rPr>
          <w:rFonts w:ascii="Times New Roman" w:hAnsi="Times New Roman" w:cs="Times New Roman"/>
          <w:sz w:val="24"/>
          <w:szCs w:val="24"/>
        </w:rPr>
        <w:t xml:space="preserve"> </w:t>
      </w:r>
      <w:r w:rsidR="00BA08C9">
        <w:rPr>
          <w:rFonts w:ascii="Times New Roman" w:hAnsi="Times New Roman" w:cs="Times New Roman"/>
          <w:sz w:val="24"/>
          <w:szCs w:val="24"/>
        </w:rPr>
        <w:t>T</w:t>
      </w:r>
      <w:r>
        <w:rPr>
          <w:rFonts w:ascii="Times New Roman" w:hAnsi="Times New Roman" w:cs="Times New Roman"/>
          <w:sz w:val="24"/>
          <w:szCs w:val="24"/>
        </w:rPr>
        <w:t>he trial cou</w:t>
      </w:r>
      <w:r w:rsidR="00BA08C9">
        <w:rPr>
          <w:rFonts w:ascii="Times New Roman" w:hAnsi="Times New Roman" w:cs="Times New Roman"/>
          <w:sz w:val="24"/>
          <w:szCs w:val="24"/>
        </w:rPr>
        <w:t xml:space="preserve">rt </w:t>
      </w:r>
      <w:r w:rsidR="00DF7441">
        <w:rPr>
          <w:rFonts w:ascii="Times New Roman" w:hAnsi="Times New Roman" w:cs="Times New Roman"/>
          <w:sz w:val="24"/>
          <w:szCs w:val="24"/>
        </w:rPr>
        <w:t xml:space="preserve">agreed with the defendants that they were </w:t>
      </w:r>
      <w:r w:rsidR="0040253C">
        <w:rPr>
          <w:rFonts w:ascii="Times New Roman" w:hAnsi="Times New Roman" w:cs="Times New Roman"/>
          <w:sz w:val="24"/>
          <w:szCs w:val="24"/>
        </w:rPr>
        <w:t>not</w:t>
      </w:r>
      <w:r>
        <w:rPr>
          <w:rFonts w:ascii="Times New Roman" w:hAnsi="Times New Roman" w:cs="Times New Roman"/>
          <w:sz w:val="24"/>
          <w:szCs w:val="24"/>
        </w:rPr>
        <w:t xml:space="preserve"> </w:t>
      </w:r>
      <w:r w:rsidR="0040253C">
        <w:rPr>
          <w:rFonts w:ascii="Times New Roman" w:hAnsi="Times New Roman" w:cs="Times New Roman"/>
          <w:sz w:val="24"/>
          <w:szCs w:val="24"/>
        </w:rPr>
        <w:t xml:space="preserve">required to </w:t>
      </w:r>
      <w:r>
        <w:rPr>
          <w:rFonts w:ascii="Times New Roman" w:hAnsi="Times New Roman" w:cs="Times New Roman"/>
          <w:sz w:val="24"/>
          <w:szCs w:val="24"/>
        </w:rPr>
        <w:t>provide the Plaintiff with the type of notice established</w:t>
      </w:r>
      <w:r w:rsidR="009D1A3D">
        <w:rPr>
          <w:rFonts w:ascii="Times New Roman" w:hAnsi="Times New Roman" w:cs="Times New Roman"/>
          <w:sz w:val="24"/>
          <w:szCs w:val="24"/>
        </w:rPr>
        <w:t>, and subsequently mandated,</w:t>
      </w:r>
      <w:r>
        <w:rPr>
          <w:rFonts w:ascii="Times New Roman" w:hAnsi="Times New Roman" w:cs="Times New Roman"/>
          <w:sz w:val="24"/>
          <w:szCs w:val="24"/>
        </w:rPr>
        <w:t xml:space="preserve"> by </w:t>
      </w:r>
      <w:r>
        <w:rPr>
          <w:rFonts w:ascii="Times New Roman" w:hAnsi="Times New Roman" w:cs="Times New Roman"/>
          <w:i/>
          <w:sz w:val="24"/>
          <w:szCs w:val="24"/>
        </w:rPr>
        <w:t>Rice</w:t>
      </w:r>
      <w:r w:rsidR="001142C6">
        <w:rPr>
          <w:rFonts w:ascii="Times New Roman" w:hAnsi="Times New Roman" w:cs="Times New Roman"/>
          <w:i/>
          <w:sz w:val="24"/>
          <w:szCs w:val="24"/>
        </w:rPr>
        <w:t xml:space="preserve"> v. </w:t>
      </w:r>
      <w:r w:rsidR="0040253C">
        <w:rPr>
          <w:rFonts w:ascii="Times New Roman" w:hAnsi="Times New Roman" w:cs="Times New Roman"/>
          <w:i/>
          <w:sz w:val="24"/>
          <w:szCs w:val="24"/>
        </w:rPr>
        <w:t xml:space="preserve">Union </w:t>
      </w:r>
      <w:proofErr w:type="spellStart"/>
      <w:r w:rsidR="0040253C">
        <w:rPr>
          <w:rFonts w:ascii="Times New Roman" w:hAnsi="Times New Roman" w:cs="Times New Roman"/>
          <w:i/>
          <w:sz w:val="24"/>
          <w:szCs w:val="24"/>
        </w:rPr>
        <w:t>Cnty</w:t>
      </w:r>
      <w:proofErr w:type="spellEnd"/>
      <w:r w:rsidR="0040253C">
        <w:rPr>
          <w:rFonts w:ascii="Times New Roman" w:hAnsi="Times New Roman" w:cs="Times New Roman"/>
          <w:i/>
          <w:sz w:val="24"/>
          <w:szCs w:val="24"/>
        </w:rPr>
        <w:t xml:space="preserve">. </w:t>
      </w:r>
      <w:proofErr w:type="spellStart"/>
      <w:r w:rsidR="0040253C">
        <w:rPr>
          <w:rFonts w:ascii="Times New Roman" w:hAnsi="Times New Roman" w:cs="Times New Roman"/>
          <w:i/>
          <w:sz w:val="24"/>
          <w:szCs w:val="24"/>
        </w:rPr>
        <w:t>Reg’l</w:t>
      </w:r>
      <w:proofErr w:type="spellEnd"/>
      <w:r w:rsidR="0040253C">
        <w:rPr>
          <w:rFonts w:ascii="Times New Roman" w:hAnsi="Times New Roman" w:cs="Times New Roman"/>
          <w:i/>
          <w:sz w:val="24"/>
          <w:szCs w:val="24"/>
        </w:rPr>
        <w:t xml:space="preserve"> High Sch. Bd. of Ed.</w:t>
      </w:r>
      <w:r w:rsidR="00BA08C9">
        <w:rPr>
          <w:rFonts w:ascii="Times New Roman" w:hAnsi="Times New Roman" w:cs="Times New Roman"/>
          <w:i/>
          <w:sz w:val="24"/>
          <w:szCs w:val="24"/>
        </w:rPr>
        <w:t>,</w:t>
      </w:r>
      <w:r w:rsidR="00476204">
        <w:rPr>
          <w:rFonts w:ascii="Times New Roman" w:hAnsi="Times New Roman" w:cs="Times New Roman"/>
          <w:sz w:val="24"/>
          <w:szCs w:val="24"/>
        </w:rPr>
        <w:t xml:space="preserve"> </w:t>
      </w:r>
      <w:r w:rsidR="0040253C">
        <w:rPr>
          <w:rFonts w:ascii="Times New Roman" w:hAnsi="Times New Roman" w:cs="Times New Roman"/>
          <w:sz w:val="24"/>
          <w:szCs w:val="24"/>
        </w:rPr>
        <w:t>because the personnel acti</w:t>
      </w:r>
      <w:r w:rsidR="00655EC9">
        <w:rPr>
          <w:rFonts w:ascii="Times New Roman" w:hAnsi="Times New Roman" w:cs="Times New Roman"/>
          <w:sz w:val="24"/>
          <w:szCs w:val="24"/>
        </w:rPr>
        <w:t>o</w:t>
      </w:r>
      <w:r w:rsidR="0040253C">
        <w:rPr>
          <w:rFonts w:ascii="Times New Roman" w:hAnsi="Times New Roman" w:cs="Times New Roman"/>
          <w:sz w:val="24"/>
          <w:szCs w:val="24"/>
        </w:rPr>
        <w:t>ns occurred during the public session</w:t>
      </w:r>
      <w:r w:rsidR="00655EC9">
        <w:rPr>
          <w:rFonts w:ascii="Times New Roman" w:hAnsi="Times New Roman" w:cs="Times New Roman"/>
          <w:sz w:val="24"/>
          <w:szCs w:val="24"/>
        </w:rPr>
        <w:t xml:space="preserve"> of the meeting</w:t>
      </w:r>
      <w:r w:rsidR="0040253C">
        <w:rPr>
          <w:rFonts w:ascii="Times New Roman" w:hAnsi="Times New Roman" w:cs="Times New Roman"/>
          <w:sz w:val="24"/>
          <w:szCs w:val="24"/>
        </w:rPr>
        <w:t>.</w:t>
      </w:r>
      <w:r w:rsidR="0040253C">
        <w:rPr>
          <w:rStyle w:val="FootnoteReference"/>
          <w:rFonts w:cs="Times New Roman"/>
          <w:sz w:val="24"/>
          <w:szCs w:val="24"/>
        </w:rPr>
        <w:footnoteReference w:id="13"/>
      </w:r>
      <w:r w:rsidR="0040253C">
        <w:rPr>
          <w:rFonts w:ascii="Times New Roman" w:hAnsi="Times New Roman" w:cs="Times New Roman"/>
          <w:sz w:val="24"/>
          <w:szCs w:val="24"/>
        </w:rPr>
        <w:t xml:space="preserve"> </w:t>
      </w:r>
      <w:r w:rsidR="00655EC9">
        <w:rPr>
          <w:rFonts w:ascii="Times New Roman" w:hAnsi="Times New Roman" w:cs="Times New Roman"/>
          <w:sz w:val="24"/>
          <w:szCs w:val="24"/>
        </w:rPr>
        <w:t xml:space="preserve">Furthermore, the trial court </w:t>
      </w:r>
      <w:r w:rsidR="000915FA">
        <w:rPr>
          <w:rFonts w:ascii="Times New Roman" w:hAnsi="Times New Roman" w:cs="Times New Roman"/>
          <w:sz w:val="24"/>
          <w:szCs w:val="24"/>
        </w:rPr>
        <w:t xml:space="preserve">declined to void the Board’s </w:t>
      </w:r>
      <w:r w:rsidR="00476204">
        <w:rPr>
          <w:rFonts w:ascii="Times New Roman" w:hAnsi="Times New Roman" w:cs="Times New Roman"/>
          <w:sz w:val="24"/>
          <w:szCs w:val="24"/>
        </w:rPr>
        <w:t>decision to terminate the plaintiffs</w:t>
      </w:r>
      <w:r w:rsidR="001142C6">
        <w:rPr>
          <w:rFonts w:ascii="Times New Roman" w:hAnsi="Times New Roman" w:cs="Times New Roman"/>
          <w:i/>
          <w:sz w:val="24"/>
          <w:szCs w:val="24"/>
        </w:rPr>
        <w:t>.</w:t>
      </w:r>
      <w:r>
        <w:rPr>
          <w:rStyle w:val="FootnoteReference"/>
          <w:rFonts w:cs="Times New Roman"/>
          <w:sz w:val="24"/>
          <w:szCs w:val="24"/>
        </w:rPr>
        <w:footnoteReference w:id="14"/>
      </w:r>
      <w:r>
        <w:rPr>
          <w:rFonts w:ascii="Times New Roman" w:hAnsi="Times New Roman" w:cs="Times New Roman"/>
          <w:i/>
          <w:sz w:val="24"/>
          <w:szCs w:val="24"/>
        </w:rPr>
        <w:t xml:space="preserve"> </w:t>
      </w:r>
      <w:r>
        <w:rPr>
          <w:rFonts w:ascii="Times New Roman" w:hAnsi="Times New Roman" w:cs="Times New Roman"/>
          <w:sz w:val="24"/>
          <w:szCs w:val="24"/>
        </w:rPr>
        <w:t xml:space="preserve">The Board appealed </w:t>
      </w:r>
      <w:r w:rsidR="001142C6">
        <w:rPr>
          <w:rFonts w:ascii="Times New Roman" w:hAnsi="Times New Roman" w:cs="Times New Roman"/>
          <w:sz w:val="24"/>
          <w:szCs w:val="24"/>
        </w:rPr>
        <w:t xml:space="preserve">the trial court decision </w:t>
      </w:r>
      <w:r>
        <w:rPr>
          <w:rFonts w:ascii="Times New Roman" w:hAnsi="Times New Roman" w:cs="Times New Roman"/>
          <w:sz w:val="24"/>
          <w:szCs w:val="24"/>
        </w:rPr>
        <w:t xml:space="preserve">and </w:t>
      </w:r>
      <w:r w:rsidR="00CC3CD3">
        <w:rPr>
          <w:rFonts w:ascii="Times New Roman" w:hAnsi="Times New Roman" w:cs="Times New Roman"/>
          <w:sz w:val="24"/>
          <w:szCs w:val="24"/>
        </w:rPr>
        <w:t>a cross-appeal was filed by the plaintiffs</w:t>
      </w:r>
      <w:r>
        <w:rPr>
          <w:rFonts w:ascii="Times New Roman" w:hAnsi="Times New Roman" w:cs="Times New Roman"/>
          <w:sz w:val="24"/>
          <w:szCs w:val="24"/>
        </w:rPr>
        <w:t>.</w:t>
      </w:r>
      <w:r>
        <w:rPr>
          <w:rStyle w:val="FootnoteReference"/>
          <w:rFonts w:cs="Times New Roman"/>
          <w:sz w:val="24"/>
          <w:szCs w:val="24"/>
        </w:rPr>
        <w:footnoteReference w:id="15"/>
      </w:r>
      <w:r>
        <w:rPr>
          <w:rFonts w:ascii="Times New Roman" w:hAnsi="Times New Roman" w:cs="Times New Roman"/>
          <w:sz w:val="24"/>
          <w:szCs w:val="24"/>
        </w:rPr>
        <w:t xml:space="preserve"> </w:t>
      </w:r>
    </w:p>
    <w:p w:rsidR="001142C6" w:rsidRDefault="001142C6" w:rsidP="008527A7">
      <w:pPr>
        <w:spacing w:line="276" w:lineRule="auto"/>
        <w:ind w:firstLine="720"/>
        <w:jc w:val="both"/>
        <w:rPr>
          <w:rFonts w:ascii="Times New Roman" w:hAnsi="Times New Roman" w:cs="Times New Roman"/>
          <w:sz w:val="24"/>
          <w:szCs w:val="24"/>
        </w:rPr>
      </w:pPr>
    </w:p>
    <w:p w:rsidR="004F640C" w:rsidRDefault="004F640C" w:rsidP="008527A7">
      <w:pPr>
        <w:spacing w:line="276" w:lineRule="auto"/>
        <w:ind w:firstLine="720"/>
        <w:jc w:val="both"/>
        <w:rPr>
          <w:rFonts w:ascii="Times New Roman" w:hAnsi="Times New Roman" w:cs="Times New Roman"/>
          <w:sz w:val="24"/>
          <w:szCs w:val="24"/>
        </w:rPr>
      </w:pPr>
      <w:r w:rsidRPr="004F640C">
        <w:rPr>
          <w:rFonts w:ascii="Segoe UI Semilight" w:hAnsi="Segoe UI Semilight" w:cs="Segoe UI Semilight"/>
          <w:i/>
          <w:sz w:val="24"/>
          <w:szCs w:val="24"/>
        </w:rPr>
        <w:t>•</w:t>
      </w:r>
      <w:r w:rsidRPr="004F640C">
        <w:rPr>
          <w:rFonts w:ascii="Times New Roman" w:hAnsi="Times New Roman" w:cs="Times New Roman"/>
          <w:i/>
          <w:sz w:val="24"/>
          <w:szCs w:val="24"/>
        </w:rPr>
        <w:t xml:space="preserve"> The </w:t>
      </w:r>
      <w:r>
        <w:rPr>
          <w:rFonts w:ascii="Times New Roman" w:hAnsi="Times New Roman" w:cs="Times New Roman"/>
          <w:i/>
          <w:sz w:val="24"/>
          <w:szCs w:val="24"/>
        </w:rPr>
        <w:t>Appellate Division</w:t>
      </w:r>
    </w:p>
    <w:p w:rsidR="004F640C" w:rsidRDefault="004F640C" w:rsidP="008527A7">
      <w:pPr>
        <w:spacing w:line="276" w:lineRule="auto"/>
        <w:ind w:firstLine="720"/>
        <w:jc w:val="both"/>
        <w:rPr>
          <w:rFonts w:ascii="Times New Roman" w:hAnsi="Times New Roman" w:cs="Times New Roman"/>
          <w:sz w:val="24"/>
          <w:szCs w:val="24"/>
        </w:rPr>
      </w:pPr>
    </w:p>
    <w:p w:rsidR="00BA08C9" w:rsidRDefault="00936AB3" w:rsidP="008527A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appeal, the </w:t>
      </w:r>
      <w:r w:rsidR="00CC3CD3">
        <w:rPr>
          <w:rFonts w:ascii="Times New Roman" w:hAnsi="Times New Roman" w:cs="Times New Roman"/>
          <w:sz w:val="24"/>
          <w:szCs w:val="24"/>
        </w:rPr>
        <w:t xml:space="preserve">Appellate Division </w:t>
      </w:r>
      <w:r w:rsidR="004732D9">
        <w:rPr>
          <w:rFonts w:ascii="Times New Roman" w:hAnsi="Times New Roman" w:cs="Times New Roman"/>
          <w:sz w:val="24"/>
          <w:szCs w:val="24"/>
        </w:rPr>
        <w:t>considered two issues.</w:t>
      </w:r>
      <w:r w:rsidR="004732D9">
        <w:rPr>
          <w:rStyle w:val="FootnoteReference"/>
          <w:rFonts w:cs="Times New Roman"/>
          <w:sz w:val="24"/>
          <w:szCs w:val="24"/>
        </w:rPr>
        <w:footnoteReference w:id="16"/>
      </w:r>
      <w:r w:rsidR="004732D9">
        <w:rPr>
          <w:rFonts w:ascii="Times New Roman" w:hAnsi="Times New Roman" w:cs="Times New Roman"/>
          <w:sz w:val="24"/>
          <w:szCs w:val="24"/>
        </w:rPr>
        <w:t xml:space="preserve"> </w:t>
      </w:r>
      <w:r w:rsidR="00BA08C9">
        <w:rPr>
          <w:rFonts w:ascii="Times New Roman" w:hAnsi="Times New Roman" w:cs="Times New Roman"/>
          <w:sz w:val="24"/>
          <w:szCs w:val="24"/>
        </w:rPr>
        <w:t>First, t</w:t>
      </w:r>
      <w:r w:rsidR="002B52D8">
        <w:rPr>
          <w:rFonts w:ascii="Times New Roman" w:hAnsi="Times New Roman" w:cs="Times New Roman"/>
          <w:sz w:val="24"/>
          <w:szCs w:val="24"/>
        </w:rPr>
        <w:t xml:space="preserve">he Court addressed </w:t>
      </w:r>
      <w:r w:rsidR="004732D9">
        <w:rPr>
          <w:rFonts w:ascii="Times New Roman" w:hAnsi="Times New Roman" w:cs="Times New Roman"/>
          <w:sz w:val="24"/>
          <w:szCs w:val="24"/>
        </w:rPr>
        <w:t xml:space="preserve">whether </w:t>
      </w:r>
      <w:r>
        <w:rPr>
          <w:rFonts w:ascii="Times New Roman" w:hAnsi="Times New Roman" w:cs="Times New Roman"/>
          <w:sz w:val="24"/>
          <w:szCs w:val="24"/>
        </w:rPr>
        <w:t xml:space="preserve">the </w:t>
      </w:r>
      <w:r w:rsidR="004732D9">
        <w:rPr>
          <w:rFonts w:ascii="Times New Roman" w:hAnsi="Times New Roman" w:cs="Times New Roman"/>
          <w:sz w:val="24"/>
          <w:szCs w:val="24"/>
        </w:rPr>
        <w:t xml:space="preserve">Board violated the OPMA </w:t>
      </w:r>
      <w:r w:rsidR="00CC3CD3">
        <w:rPr>
          <w:rFonts w:ascii="Times New Roman" w:hAnsi="Times New Roman" w:cs="Times New Roman"/>
          <w:sz w:val="24"/>
          <w:szCs w:val="24"/>
        </w:rPr>
        <w:t xml:space="preserve">when it </w:t>
      </w:r>
      <w:r w:rsidR="004732D9">
        <w:rPr>
          <w:rFonts w:ascii="Times New Roman" w:hAnsi="Times New Roman" w:cs="Times New Roman"/>
          <w:sz w:val="24"/>
          <w:szCs w:val="24"/>
        </w:rPr>
        <w:t>fail</w:t>
      </w:r>
      <w:r w:rsidR="00CC3CD3">
        <w:rPr>
          <w:rFonts w:ascii="Times New Roman" w:hAnsi="Times New Roman" w:cs="Times New Roman"/>
          <w:sz w:val="24"/>
          <w:szCs w:val="24"/>
        </w:rPr>
        <w:t>ed</w:t>
      </w:r>
      <w:r w:rsidR="004732D9">
        <w:rPr>
          <w:rFonts w:ascii="Times New Roman" w:hAnsi="Times New Roman" w:cs="Times New Roman"/>
          <w:sz w:val="24"/>
          <w:szCs w:val="24"/>
        </w:rPr>
        <w:t xml:space="preserve"> to make meeting minutes “promptly available,” </w:t>
      </w:r>
      <w:r w:rsidR="00F10AFF">
        <w:rPr>
          <w:rFonts w:ascii="Times New Roman" w:hAnsi="Times New Roman" w:cs="Times New Roman"/>
          <w:sz w:val="24"/>
          <w:szCs w:val="24"/>
        </w:rPr>
        <w:t>to members of the public.</w:t>
      </w:r>
      <w:r w:rsidR="004732D9">
        <w:rPr>
          <w:rStyle w:val="FootnoteReference"/>
          <w:rFonts w:cs="Times New Roman"/>
          <w:sz w:val="24"/>
          <w:szCs w:val="24"/>
        </w:rPr>
        <w:footnoteReference w:id="17"/>
      </w:r>
      <w:r w:rsidR="002B52D8">
        <w:rPr>
          <w:rFonts w:ascii="Times New Roman" w:hAnsi="Times New Roman" w:cs="Times New Roman"/>
          <w:sz w:val="24"/>
          <w:szCs w:val="24"/>
        </w:rPr>
        <w:t xml:space="preserve"> After a review of the record, t</w:t>
      </w:r>
      <w:r w:rsidR="00922C9F">
        <w:rPr>
          <w:rFonts w:ascii="Times New Roman" w:hAnsi="Times New Roman" w:cs="Times New Roman"/>
          <w:sz w:val="24"/>
          <w:szCs w:val="24"/>
        </w:rPr>
        <w:t xml:space="preserve">he Appellate Division affirmed the decision of the trial court </w:t>
      </w:r>
      <w:r w:rsidR="002B52D8">
        <w:rPr>
          <w:rFonts w:ascii="Times New Roman" w:hAnsi="Times New Roman" w:cs="Times New Roman"/>
          <w:sz w:val="24"/>
          <w:szCs w:val="24"/>
        </w:rPr>
        <w:t xml:space="preserve">concerning the Board’s untimely production </w:t>
      </w:r>
      <w:r w:rsidR="00F10AFF">
        <w:rPr>
          <w:rFonts w:ascii="Times New Roman" w:hAnsi="Times New Roman" w:cs="Times New Roman"/>
          <w:sz w:val="24"/>
          <w:szCs w:val="24"/>
        </w:rPr>
        <w:t xml:space="preserve">of </w:t>
      </w:r>
      <w:r w:rsidR="002B52D8">
        <w:rPr>
          <w:rFonts w:ascii="Times New Roman" w:hAnsi="Times New Roman" w:cs="Times New Roman"/>
          <w:sz w:val="24"/>
          <w:szCs w:val="24"/>
        </w:rPr>
        <w:t xml:space="preserve">its </w:t>
      </w:r>
      <w:r w:rsidR="00922C9F">
        <w:rPr>
          <w:rFonts w:ascii="Times New Roman" w:hAnsi="Times New Roman" w:cs="Times New Roman"/>
          <w:sz w:val="24"/>
          <w:szCs w:val="24"/>
        </w:rPr>
        <w:t>meeting minutes</w:t>
      </w:r>
      <w:r w:rsidR="00C677A9">
        <w:rPr>
          <w:rFonts w:ascii="Times New Roman" w:hAnsi="Times New Roman" w:cs="Times New Roman"/>
          <w:sz w:val="24"/>
          <w:szCs w:val="24"/>
        </w:rPr>
        <w:t>.</w:t>
      </w:r>
      <w:r w:rsidR="00C677A9">
        <w:rPr>
          <w:rStyle w:val="FootnoteReference"/>
          <w:rFonts w:cs="Times New Roman"/>
          <w:sz w:val="24"/>
          <w:szCs w:val="24"/>
        </w:rPr>
        <w:footnoteReference w:id="18"/>
      </w:r>
      <w:r w:rsidR="00F10AFF">
        <w:rPr>
          <w:rFonts w:ascii="Times New Roman" w:hAnsi="Times New Roman" w:cs="Times New Roman"/>
          <w:sz w:val="24"/>
          <w:szCs w:val="24"/>
        </w:rPr>
        <w:t xml:space="preserve"> </w:t>
      </w:r>
      <w:r w:rsidR="0005715F">
        <w:rPr>
          <w:rFonts w:ascii="Times New Roman" w:hAnsi="Times New Roman" w:cs="Times New Roman"/>
          <w:sz w:val="24"/>
          <w:szCs w:val="24"/>
        </w:rPr>
        <w:t>Although the term “promptly available” is not defined by the statute, the Court found</w:t>
      </w:r>
      <w:r w:rsidR="00BA08C9">
        <w:rPr>
          <w:rFonts w:ascii="Times New Roman" w:hAnsi="Times New Roman" w:cs="Times New Roman"/>
          <w:sz w:val="24"/>
          <w:szCs w:val="24"/>
        </w:rPr>
        <w:t xml:space="preserve"> that</w:t>
      </w:r>
      <w:r w:rsidR="0005715F">
        <w:rPr>
          <w:rFonts w:ascii="Times New Roman" w:hAnsi="Times New Roman" w:cs="Times New Roman"/>
          <w:sz w:val="24"/>
          <w:szCs w:val="24"/>
        </w:rPr>
        <w:t xml:space="preserve"> “[t]he words ‘promptly available’ in N.J.S.A. 10:4-14 require public bodies to make their meeting minutes available to the public in a manner that fulfills the Legislature’s commitment to transparency in public affairs.”</w:t>
      </w:r>
      <w:r w:rsidR="0005715F">
        <w:rPr>
          <w:rStyle w:val="FootnoteReference"/>
          <w:rFonts w:cs="Times New Roman"/>
          <w:sz w:val="24"/>
          <w:szCs w:val="24"/>
        </w:rPr>
        <w:footnoteReference w:id="19"/>
      </w:r>
      <w:r w:rsidR="0005715F">
        <w:rPr>
          <w:rFonts w:ascii="Times New Roman" w:hAnsi="Times New Roman" w:cs="Times New Roman"/>
          <w:sz w:val="24"/>
          <w:szCs w:val="24"/>
        </w:rPr>
        <w:t xml:space="preserve"> </w:t>
      </w:r>
      <w:r w:rsidR="00C677A9">
        <w:rPr>
          <w:rFonts w:ascii="Times New Roman" w:hAnsi="Times New Roman" w:cs="Times New Roman"/>
          <w:sz w:val="24"/>
          <w:szCs w:val="24"/>
        </w:rPr>
        <w:t xml:space="preserve">To remedy this defalcation, the Court </w:t>
      </w:r>
      <w:r w:rsidR="00922C9F">
        <w:rPr>
          <w:rFonts w:ascii="Times New Roman" w:hAnsi="Times New Roman" w:cs="Times New Roman"/>
          <w:sz w:val="24"/>
          <w:szCs w:val="24"/>
        </w:rPr>
        <w:t>ordered the Board to adopt a meeting schedule that would enable them to make “minutes” available within 45 days from the date of the last meeting.</w:t>
      </w:r>
      <w:r w:rsidR="00922C9F">
        <w:rPr>
          <w:rStyle w:val="FootnoteReference"/>
          <w:rFonts w:cs="Times New Roman"/>
          <w:sz w:val="24"/>
          <w:szCs w:val="24"/>
        </w:rPr>
        <w:footnoteReference w:id="20"/>
      </w:r>
      <w:r w:rsidR="00F10AFF">
        <w:rPr>
          <w:rFonts w:ascii="Times New Roman" w:hAnsi="Times New Roman" w:cs="Times New Roman"/>
          <w:sz w:val="24"/>
          <w:szCs w:val="24"/>
        </w:rPr>
        <w:t xml:space="preserve"> </w:t>
      </w:r>
    </w:p>
    <w:p w:rsidR="00BA08C9" w:rsidRDefault="00BA08C9" w:rsidP="008527A7">
      <w:pPr>
        <w:spacing w:line="276" w:lineRule="auto"/>
        <w:ind w:firstLine="720"/>
        <w:jc w:val="both"/>
        <w:rPr>
          <w:rFonts w:ascii="Times New Roman" w:hAnsi="Times New Roman" w:cs="Times New Roman"/>
          <w:sz w:val="24"/>
          <w:szCs w:val="24"/>
        </w:rPr>
      </w:pPr>
    </w:p>
    <w:p w:rsidR="002C354E" w:rsidRDefault="002B52D8" w:rsidP="008527A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then addressed the type of notice that must be given to employees under </w:t>
      </w:r>
      <w:r w:rsidR="004F640C">
        <w:rPr>
          <w:rFonts w:ascii="Times New Roman" w:hAnsi="Times New Roman" w:cs="Times New Roman"/>
          <w:sz w:val="24"/>
          <w:szCs w:val="24"/>
        </w:rPr>
        <w:t xml:space="preserve">the Act. </w:t>
      </w:r>
      <w:r w:rsidR="00E00109">
        <w:rPr>
          <w:rFonts w:ascii="Times New Roman" w:hAnsi="Times New Roman" w:cs="Times New Roman"/>
          <w:sz w:val="24"/>
          <w:szCs w:val="24"/>
        </w:rPr>
        <w:t>Before considering whether the Board was required to give an employee notice under OPMA, t</w:t>
      </w:r>
      <w:r w:rsidR="00F10AFF">
        <w:rPr>
          <w:rFonts w:ascii="Times New Roman" w:hAnsi="Times New Roman" w:cs="Times New Roman"/>
          <w:sz w:val="24"/>
          <w:szCs w:val="24"/>
        </w:rPr>
        <w:t xml:space="preserve">he </w:t>
      </w:r>
      <w:r w:rsidR="00E00109">
        <w:rPr>
          <w:rFonts w:ascii="Times New Roman" w:hAnsi="Times New Roman" w:cs="Times New Roman"/>
          <w:sz w:val="24"/>
          <w:szCs w:val="24"/>
        </w:rPr>
        <w:t xml:space="preserve">Appellate </w:t>
      </w:r>
      <w:r w:rsidR="00F10AFF">
        <w:rPr>
          <w:rFonts w:ascii="Times New Roman" w:hAnsi="Times New Roman" w:cs="Times New Roman"/>
          <w:sz w:val="24"/>
          <w:szCs w:val="24"/>
        </w:rPr>
        <w:t xml:space="preserve">Court </w:t>
      </w:r>
      <w:r w:rsidR="00E00109">
        <w:rPr>
          <w:rFonts w:ascii="Times New Roman" w:hAnsi="Times New Roman" w:cs="Times New Roman"/>
          <w:sz w:val="24"/>
          <w:szCs w:val="24"/>
        </w:rPr>
        <w:t xml:space="preserve">examined the process </w:t>
      </w:r>
      <w:r w:rsidR="00FE34FE">
        <w:rPr>
          <w:rFonts w:ascii="Times New Roman" w:hAnsi="Times New Roman" w:cs="Times New Roman"/>
          <w:sz w:val="24"/>
          <w:szCs w:val="24"/>
        </w:rPr>
        <w:t>used</w:t>
      </w:r>
      <w:r w:rsidR="00E00109">
        <w:rPr>
          <w:rFonts w:ascii="Times New Roman" w:hAnsi="Times New Roman" w:cs="Times New Roman"/>
          <w:sz w:val="24"/>
          <w:szCs w:val="24"/>
        </w:rPr>
        <w:t xml:space="preserve"> by the Board concerning appointments and non-appointment of faculty members. </w:t>
      </w:r>
      <w:r w:rsidR="00FE34FE">
        <w:rPr>
          <w:rFonts w:ascii="Times New Roman" w:hAnsi="Times New Roman" w:cs="Times New Roman"/>
          <w:sz w:val="24"/>
          <w:szCs w:val="24"/>
        </w:rPr>
        <w:t xml:space="preserve">The Court observed that, “[t]he only </w:t>
      </w:r>
      <w:r w:rsidR="00FE34FE">
        <w:rPr>
          <w:rFonts w:ascii="Times New Roman" w:hAnsi="Times New Roman" w:cs="Times New Roman"/>
          <w:sz w:val="24"/>
          <w:szCs w:val="24"/>
        </w:rPr>
        <w:lastRenderedPageBreak/>
        <w:t>role the Board play</w:t>
      </w:r>
      <w:r w:rsidR="004F640C">
        <w:rPr>
          <w:rFonts w:ascii="Times New Roman" w:hAnsi="Times New Roman" w:cs="Times New Roman"/>
          <w:sz w:val="24"/>
          <w:szCs w:val="24"/>
        </w:rPr>
        <w:t>s</w:t>
      </w:r>
      <w:r w:rsidR="00FE34FE">
        <w:rPr>
          <w:rFonts w:ascii="Times New Roman" w:hAnsi="Times New Roman" w:cs="Times New Roman"/>
          <w:sz w:val="24"/>
          <w:szCs w:val="24"/>
        </w:rPr>
        <w:t xml:space="preserve"> in [the reappointment] process is approving the report of the subcommittee in pub</w:t>
      </w:r>
      <w:r w:rsidR="005E3868">
        <w:rPr>
          <w:rFonts w:ascii="Times New Roman" w:hAnsi="Times New Roman" w:cs="Times New Roman"/>
          <w:sz w:val="24"/>
          <w:szCs w:val="24"/>
        </w:rPr>
        <w:t>l</w:t>
      </w:r>
      <w:r w:rsidR="00FE34FE">
        <w:rPr>
          <w:rFonts w:ascii="Times New Roman" w:hAnsi="Times New Roman" w:cs="Times New Roman"/>
          <w:sz w:val="24"/>
          <w:szCs w:val="24"/>
        </w:rPr>
        <w:t>ic session.”</w:t>
      </w:r>
      <w:r w:rsidR="00FE34FE">
        <w:rPr>
          <w:rStyle w:val="FootnoteReference"/>
          <w:rFonts w:cs="Times New Roman"/>
          <w:sz w:val="24"/>
          <w:szCs w:val="24"/>
        </w:rPr>
        <w:footnoteReference w:id="21"/>
      </w:r>
      <w:r w:rsidR="006717C1">
        <w:rPr>
          <w:rFonts w:ascii="Times New Roman" w:hAnsi="Times New Roman" w:cs="Times New Roman"/>
          <w:sz w:val="24"/>
          <w:szCs w:val="24"/>
        </w:rPr>
        <w:t xml:space="preserve"> </w:t>
      </w:r>
      <w:r w:rsidR="005E3868">
        <w:rPr>
          <w:rFonts w:ascii="Times New Roman" w:hAnsi="Times New Roman" w:cs="Times New Roman"/>
          <w:sz w:val="24"/>
          <w:szCs w:val="24"/>
        </w:rPr>
        <w:t>Disturbed by the Board’s reliance upon the subcommittee’s report</w:t>
      </w:r>
      <w:r w:rsidR="00CA3803">
        <w:rPr>
          <w:rFonts w:ascii="Times New Roman" w:hAnsi="Times New Roman" w:cs="Times New Roman"/>
          <w:sz w:val="24"/>
          <w:szCs w:val="24"/>
        </w:rPr>
        <w:t xml:space="preserve"> when considering issues of reappointment</w:t>
      </w:r>
      <w:r w:rsidR="005E3868">
        <w:rPr>
          <w:rFonts w:ascii="Times New Roman" w:hAnsi="Times New Roman" w:cs="Times New Roman"/>
          <w:sz w:val="24"/>
          <w:szCs w:val="24"/>
        </w:rPr>
        <w:t>, the court opined, “[w]hen a public body acts on a personnel matter without prior discussion of any kind, the silent unexplained vote cast by the Board member reduced the event to a perfunctory exercise, devoid of both substance and meaning.”</w:t>
      </w:r>
      <w:r w:rsidR="005E3868">
        <w:rPr>
          <w:rStyle w:val="FootnoteReference"/>
          <w:rFonts w:cs="Times New Roman"/>
          <w:sz w:val="24"/>
          <w:szCs w:val="24"/>
        </w:rPr>
        <w:footnoteReference w:id="22"/>
      </w:r>
      <w:r w:rsidR="00CE6509">
        <w:rPr>
          <w:rFonts w:ascii="Times New Roman" w:hAnsi="Times New Roman" w:cs="Times New Roman"/>
          <w:sz w:val="24"/>
          <w:szCs w:val="24"/>
        </w:rPr>
        <w:t xml:space="preserve"> </w:t>
      </w:r>
      <w:r w:rsidR="00CA3803">
        <w:rPr>
          <w:rFonts w:ascii="Times New Roman" w:hAnsi="Times New Roman" w:cs="Times New Roman"/>
          <w:sz w:val="24"/>
          <w:szCs w:val="24"/>
        </w:rPr>
        <w:t>The Court continued, “[a] silent unexplained vote to approve a list of preapproved candidates in public session gives the impression that the Board colluded to circumvent the OPMA’s requirements.”</w:t>
      </w:r>
      <w:r w:rsidR="00CA3803">
        <w:rPr>
          <w:rStyle w:val="FootnoteReference"/>
          <w:rFonts w:cs="Times New Roman"/>
          <w:sz w:val="24"/>
          <w:szCs w:val="24"/>
        </w:rPr>
        <w:footnoteReference w:id="23"/>
      </w:r>
      <w:r w:rsidR="00CA3803">
        <w:rPr>
          <w:rFonts w:ascii="Times New Roman" w:hAnsi="Times New Roman" w:cs="Times New Roman"/>
          <w:sz w:val="24"/>
          <w:szCs w:val="24"/>
        </w:rPr>
        <w:t xml:space="preserve"> </w:t>
      </w:r>
    </w:p>
    <w:p w:rsidR="002C354E" w:rsidRDefault="002C354E" w:rsidP="008527A7">
      <w:pPr>
        <w:spacing w:line="276" w:lineRule="auto"/>
        <w:ind w:firstLine="720"/>
        <w:jc w:val="both"/>
        <w:rPr>
          <w:rFonts w:ascii="Times New Roman" w:hAnsi="Times New Roman" w:cs="Times New Roman"/>
          <w:sz w:val="24"/>
          <w:szCs w:val="24"/>
        </w:rPr>
      </w:pPr>
    </w:p>
    <w:p w:rsidR="00CE6509" w:rsidRDefault="00CA3803"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hAnsi="Times New Roman" w:cs="Times New Roman"/>
          <w:sz w:val="24"/>
          <w:szCs w:val="24"/>
        </w:rPr>
        <w:t xml:space="preserve">The Court proceeded to expand the notice requirements set forth in </w:t>
      </w:r>
      <w:r>
        <w:rPr>
          <w:rFonts w:ascii="Times New Roman" w:hAnsi="Times New Roman" w:cs="Times New Roman"/>
          <w:i/>
          <w:sz w:val="24"/>
          <w:szCs w:val="24"/>
        </w:rPr>
        <w:t xml:space="preserve">Rice. </w:t>
      </w:r>
      <w:r w:rsidR="00CE6509">
        <w:rPr>
          <w:rFonts w:ascii="Times New Roman" w:eastAsia="Times New Roman" w:hAnsi="Times New Roman" w:cs="Times New Roman"/>
          <w:color w:val="212121"/>
          <w:sz w:val="24"/>
          <w:szCs w:val="24"/>
          <w:shd w:val="clear" w:color="auto" w:fill="FFFFFF"/>
        </w:rPr>
        <w:t>In an attempt to encourage, promote and enhance the public’s participation in th</w:t>
      </w:r>
      <w:r w:rsidR="002E2F5F">
        <w:rPr>
          <w:rFonts w:ascii="Times New Roman" w:eastAsia="Times New Roman" w:hAnsi="Times New Roman" w:cs="Times New Roman"/>
          <w:color w:val="212121"/>
          <w:sz w:val="24"/>
          <w:szCs w:val="24"/>
          <w:shd w:val="clear" w:color="auto" w:fill="FFFFFF"/>
        </w:rPr>
        <w:t>e</w:t>
      </w:r>
      <w:r w:rsidR="00CE6509">
        <w:rPr>
          <w:rFonts w:ascii="Times New Roman" w:eastAsia="Times New Roman" w:hAnsi="Times New Roman" w:cs="Times New Roman"/>
          <w:color w:val="212121"/>
          <w:sz w:val="24"/>
          <w:szCs w:val="24"/>
          <w:shd w:val="clear" w:color="auto" w:fill="FFFFFF"/>
        </w:rPr>
        <w:t xml:space="preserve"> </w:t>
      </w:r>
      <w:r w:rsidR="002E2F5F">
        <w:rPr>
          <w:rFonts w:ascii="Times New Roman" w:eastAsia="Times New Roman" w:hAnsi="Times New Roman" w:cs="Times New Roman"/>
          <w:color w:val="212121"/>
          <w:sz w:val="24"/>
          <w:szCs w:val="24"/>
          <w:shd w:val="clear" w:color="auto" w:fill="FFFFFF"/>
        </w:rPr>
        <w:t xml:space="preserve">democratic </w:t>
      </w:r>
      <w:r w:rsidR="00CE6509">
        <w:rPr>
          <w:rFonts w:ascii="Times New Roman" w:eastAsia="Times New Roman" w:hAnsi="Times New Roman" w:cs="Times New Roman"/>
          <w:color w:val="212121"/>
          <w:sz w:val="24"/>
          <w:szCs w:val="24"/>
          <w:shd w:val="clear" w:color="auto" w:fill="FFFFFF"/>
        </w:rPr>
        <w:t xml:space="preserve">process, the </w:t>
      </w:r>
      <w:r w:rsidR="002C354E">
        <w:rPr>
          <w:rFonts w:ascii="Times New Roman" w:eastAsia="Times New Roman" w:hAnsi="Times New Roman" w:cs="Times New Roman"/>
          <w:color w:val="212121"/>
          <w:sz w:val="24"/>
          <w:szCs w:val="24"/>
          <w:shd w:val="clear" w:color="auto" w:fill="FFFFFF"/>
        </w:rPr>
        <w:t>C</w:t>
      </w:r>
      <w:r w:rsidR="00CE6509">
        <w:rPr>
          <w:rFonts w:ascii="Times New Roman" w:eastAsia="Times New Roman" w:hAnsi="Times New Roman" w:cs="Times New Roman"/>
          <w:color w:val="212121"/>
          <w:sz w:val="24"/>
          <w:szCs w:val="24"/>
          <w:shd w:val="clear" w:color="auto" w:fill="FFFFFF"/>
        </w:rPr>
        <w:t xml:space="preserve">ourt held, “…a public body is required to send out a </w:t>
      </w:r>
      <w:r w:rsidR="00047410" w:rsidRPr="00994034">
        <w:rPr>
          <w:rFonts w:ascii="Times New Roman" w:eastAsia="Times New Roman" w:hAnsi="Times New Roman" w:cs="Times New Roman"/>
          <w:i/>
          <w:color w:val="212121"/>
          <w:sz w:val="24"/>
          <w:szCs w:val="24"/>
          <w:shd w:val="clear" w:color="auto" w:fill="FFFFFF"/>
        </w:rPr>
        <w:t>R</w:t>
      </w:r>
      <w:r w:rsidR="00CE6509" w:rsidRPr="00994034">
        <w:rPr>
          <w:rFonts w:ascii="Times New Roman" w:eastAsia="Times New Roman" w:hAnsi="Times New Roman" w:cs="Times New Roman"/>
          <w:i/>
          <w:color w:val="212121"/>
          <w:sz w:val="24"/>
          <w:szCs w:val="24"/>
          <w:shd w:val="clear" w:color="auto" w:fill="FFFFFF"/>
        </w:rPr>
        <w:t>ice</w:t>
      </w:r>
      <w:r w:rsidR="00CE6509">
        <w:rPr>
          <w:rFonts w:ascii="Times New Roman" w:eastAsia="Times New Roman" w:hAnsi="Times New Roman" w:cs="Times New Roman"/>
          <w:color w:val="212121"/>
          <w:sz w:val="24"/>
          <w:szCs w:val="24"/>
          <w:shd w:val="clear" w:color="auto" w:fill="FFFFFF"/>
        </w:rPr>
        <w:t xml:space="preserve"> notice </w:t>
      </w:r>
      <w:r w:rsidR="00CE6509">
        <w:rPr>
          <w:rFonts w:ascii="Times New Roman" w:eastAsia="Times New Roman" w:hAnsi="Times New Roman" w:cs="Times New Roman"/>
          <w:color w:val="212121"/>
          <w:sz w:val="24"/>
          <w:szCs w:val="24"/>
          <w:u w:val="single"/>
          <w:shd w:val="clear" w:color="auto" w:fill="FFFFFF"/>
        </w:rPr>
        <w:t>any time</w:t>
      </w:r>
      <w:r w:rsidR="00CE6509">
        <w:rPr>
          <w:rFonts w:ascii="Times New Roman" w:eastAsia="Times New Roman" w:hAnsi="Times New Roman" w:cs="Times New Roman"/>
          <w:color w:val="212121"/>
          <w:sz w:val="24"/>
          <w:szCs w:val="24"/>
          <w:shd w:val="clear" w:color="auto" w:fill="FFFFFF"/>
        </w:rPr>
        <w:t xml:space="preserve"> it has placed on the agenda any matter ‘involving the employment, appointment, termination of employment, terms and conditions of employment, evaluation of the performance of, promotion, or disciplining of any specific prospective public officer or employee or current public officer or employee employed or appointed by the public body.”</w:t>
      </w:r>
      <w:r w:rsidR="00CE6509">
        <w:rPr>
          <w:rStyle w:val="FootnoteReference"/>
          <w:rFonts w:eastAsia="Times New Roman" w:cs="Times New Roman"/>
          <w:color w:val="212121"/>
          <w:sz w:val="24"/>
          <w:szCs w:val="24"/>
          <w:shd w:val="clear" w:color="auto" w:fill="FFFFFF"/>
        </w:rPr>
        <w:footnoteReference w:id="24"/>
      </w:r>
      <w:r w:rsidR="00A6761E">
        <w:rPr>
          <w:rFonts w:ascii="Times New Roman" w:eastAsia="Times New Roman" w:hAnsi="Times New Roman" w:cs="Times New Roman"/>
          <w:color w:val="212121"/>
          <w:sz w:val="24"/>
          <w:szCs w:val="24"/>
          <w:shd w:val="clear" w:color="auto" w:fill="FFFFFF"/>
        </w:rPr>
        <w:t xml:space="preserve"> </w:t>
      </w:r>
      <w:r w:rsidR="00994034">
        <w:rPr>
          <w:rFonts w:ascii="Times New Roman" w:eastAsia="Times New Roman" w:hAnsi="Times New Roman" w:cs="Times New Roman"/>
          <w:color w:val="212121"/>
          <w:sz w:val="24"/>
          <w:szCs w:val="24"/>
          <w:shd w:val="clear" w:color="auto" w:fill="FFFFFF"/>
        </w:rPr>
        <w:t xml:space="preserve">In expanding </w:t>
      </w:r>
      <w:r w:rsidR="002C354E">
        <w:rPr>
          <w:rFonts w:ascii="Times New Roman" w:eastAsia="Times New Roman" w:hAnsi="Times New Roman" w:cs="Times New Roman"/>
          <w:color w:val="212121"/>
          <w:sz w:val="24"/>
          <w:szCs w:val="24"/>
          <w:shd w:val="clear" w:color="auto" w:fill="FFFFFF"/>
        </w:rPr>
        <w:t>the</w:t>
      </w:r>
      <w:r w:rsidR="00994034">
        <w:rPr>
          <w:rFonts w:ascii="Times New Roman" w:eastAsia="Times New Roman" w:hAnsi="Times New Roman" w:cs="Times New Roman"/>
          <w:color w:val="212121"/>
          <w:sz w:val="24"/>
          <w:szCs w:val="24"/>
          <w:shd w:val="clear" w:color="auto" w:fill="FFFFFF"/>
        </w:rPr>
        <w:t xml:space="preserve"> holding in </w:t>
      </w:r>
      <w:r w:rsidR="00994034">
        <w:rPr>
          <w:rFonts w:ascii="Times New Roman" w:eastAsia="Times New Roman" w:hAnsi="Times New Roman" w:cs="Times New Roman"/>
          <w:i/>
          <w:color w:val="212121"/>
          <w:sz w:val="24"/>
          <w:szCs w:val="24"/>
          <w:shd w:val="clear" w:color="auto" w:fill="FFFFFF"/>
        </w:rPr>
        <w:t>Rice</w:t>
      </w:r>
      <w:r w:rsidR="00994034">
        <w:rPr>
          <w:rFonts w:ascii="Times New Roman" w:eastAsia="Times New Roman" w:hAnsi="Times New Roman" w:cs="Times New Roman"/>
          <w:color w:val="212121"/>
          <w:sz w:val="24"/>
          <w:szCs w:val="24"/>
          <w:shd w:val="clear" w:color="auto" w:fill="FFFFFF"/>
        </w:rPr>
        <w:t xml:space="preserve"> the </w:t>
      </w:r>
      <w:r w:rsidR="002C354E">
        <w:rPr>
          <w:rFonts w:ascii="Times New Roman" w:eastAsia="Times New Roman" w:hAnsi="Times New Roman" w:cs="Times New Roman"/>
          <w:color w:val="212121"/>
          <w:sz w:val="24"/>
          <w:szCs w:val="24"/>
          <w:shd w:val="clear" w:color="auto" w:fill="FFFFFF"/>
        </w:rPr>
        <w:t>C</w:t>
      </w:r>
      <w:r w:rsidR="00994034">
        <w:rPr>
          <w:rFonts w:ascii="Times New Roman" w:eastAsia="Times New Roman" w:hAnsi="Times New Roman" w:cs="Times New Roman"/>
          <w:color w:val="212121"/>
          <w:sz w:val="24"/>
          <w:szCs w:val="24"/>
          <w:shd w:val="clear" w:color="auto" w:fill="FFFFFF"/>
        </w:rPr>
        <w:t xml:space="preserve">ourt </w:t>
      </w:r>
      <w:r w:rsidR="002C354E">
        <w:rPr>
          <w:rFonts w:ascii="Times New Roman" w:eastAsia="Times New Roman" w:hAnsi="Times New Roman" w:cs="Times New Roman"/>
          <w:color w:val="212121"/>
          <w:sz w:val="24"/>
          <w:szCs w:val="24"/>
          <w:shd w:val="clear" w:color="auto" w:fill="FFFFFF"/>
        </w:rPr>
        <w:t>stated</w:t>
      </w:r>
      <w:r w:rsidR="00994034">
        <w:rPr>
          <w:rFonts w:ascii="Times New Roman" w:eastAsia="Times New Roman" w:hAnsi="Times New Roman" w:cs="Times New Roman"/>
          <w:color w:val="212121"/>
          <w:sz w:val="24"/>
          <w:szCs w:val="24"/>
          <w:shd w:val="clear" w:color="auto" w:fill="FFFFFF"/>
        </w:rPr>
        <w:t xml:space="preserve"> that “…</w:t>
      </w:r>
      <w:r w:rsidR="00994034">
        <w:rPr>
          <w:rFonts w:ascii="Times New Roman" w:eastAsia="Times New Roman" w:hAnsi="Times New Roman" w:cs="Times New Roman"/>
          <w:i/>
          <w:color w:val="212121"/>
          <w:sz w:val="24"/>
          <w:szCs w:val="24"/>
          <w:shd w:val="clear" w:color="auto" w:fill="FFFFFF"/>
        </w:rPr>
        <w:t xml:space="preserve">Rice </w:t>
      </w:r>
      <w:r w:rsidR="00994034">
        <w:rPr>
          <w:rFonts w:ascii="Times New Roman" w:eastAsia="Times New Roman" w:hAnsi="Times New Roman" w:cs="Times New Roman"/>
          <w:color w:val="212121"/>
          <w:sz w:val="24"/>
          <w:szCs w:val="24"/>
          <w:shd w:val="clear" w:color="auto" w:fill="FFFFFF"/>
        </w:rPr>
        <w:t xml:space="preserve">notices must be provided in </w:t>
      </w:r>
      <w:r w:rsidR="00994034">
        <w:rPr>
          <w:rFonts w:ascii="Times New Roman" w:eastAsia="Times New Roman" w:hAnsi="Times New Roman" w:cs="Times New Roman"/>
          <w:color w:val="212121"/>
          <w:sz w:val="24"/>
          <w:szCs w:val="24"/>
          <w:u w:val="single"/>
          <w:shd w:val="clear" w:color="auto" w:fill="FFFFFF"/>
        </w:rPr>
        <w:t>advance</w:t>
      </w:r>
      <w:r w:rsidR="00994034">
        <w:rPr>
          <w:rFonts w:ascii="Times New Roman" w:eastAsia="Times New Roman" w:hAnsi="Times New Roman" w:cs="Times New Roman"/>
          <w:color w:val="212121"/>
          <w:sz w:val="24"/>
          <w:szCs w:val="24"/>
          <w:shd w:val="clear" w:color="auto" w:fill="FFFFFF"/>
        </w:rPr>
        <w:t xml:space="preserve"> of any meeting at which a personnel decision </w:t>
      </w:r>
      <w:r w:rsidR="00994034">
        <w:rPr>
          <w:rFonts w:ascii="Times New Roman" w:eastAsia="Times New Roman" w:hAnsi="Times New Roman" w:cs="Times New Roman"/>
          <w:color w:val="212121"/>
          <w:sz w:val="24"/>
          <w:szCs w:val="24"/>
          <w:u w:val="single"/>
          <w:shd w:val="clear" w:color="auto" w:fill="FFFFFF"/>
        </w:rPr>
        <w:t>may</w:t>
      </w:r>
      <w:r w:rsidR="00994034">
        <w:rPr>
          <w:rFonts w:ascii="Times New Roman" w:eastAsia="Times New Roman" w:hAnsi="Times New Roman" w:cs="Times New Roman"/>
          <w:color w:val="212121"/>
          <w:sz w:val="24"/>
          <w:szCs w:val="24"/>
          <w:shd w:val="clear" w:color="auto" w:fill="FFFFFF"/>
        </w:rPr>
        <w:t xml:space="preserve"> occur.”</w:t>
      </w:r>
      <w:r w:rsidR="00994034">
        <w:rPr>
          <w:rStyle w:val="FootnoteReference"/>
          <w:rFonts w:eastAsia="Times New Roman" w:cs="Times New Roman"/>
          <w:color w:val="212121"/>
          <w:sz w:val="24"/>
          <w:szCs w:val="24"/>
          <w:shd w:val="clear" w:color="auto" w:fill="FFFFFF"/>
        </w:rPr>
        <w:footnoteReference w:id="25"/>
      </w:r>
      <w:r w:rsidR="00994034">
        <w:rPr>
          <w:rFonts w:ascii="Times New Roman" w:eastAsia="Times New Roman" w:hAnsi="Times New Roman" w:cs="Times New Roman"/>
          <w:color w:val="212121"/>
          <w:sz w:val="24"/>
          <w:szCs w:val="24"/>
          <w:shd w:val="clear" w:color="auto" w:fill="FFFFFF"/>
        </w:rPr>
        <w:t xml:space="preserve"> The Court went on to reason, “[t]his protocol provides the Board with the flexibility to discuss matters in executive session when necessary and affords the affected employees the opportunity to request that any proposed discussion occur publicly.”</w:t>
      </w:r>
      <w:r w:rsidR="00994034">
        <w:rPr>
          <w:rStyle w:val="FootnoteReference"/>
          <w:rFonts w:eastAsia="Times New Roman" w:cs="Times New Roman"/>
          <w:color w:val="212121"/>
          <w:sz w:val="24"/>
          <w:szCs w:val="24"/>
          <w:shd w:val="clear" w:color="auto" w:fill="FFFFFF"/>
        </w:rPr>
        <w:footnoteReference w:id="26"/>
      </w:r>
      <w:r w:rsidR="00FA4662">
        <w:rPr>
          <w:rFonts w:ascii="Times New Roman" w:eastAsia="Times New Roman" w:hAnsi="Times New Roman" w:cs="Times New Roman"/>
          <w:color w:val="212121"/>
          <w:sz w:val="24"/>
          <w:szCs w:val="24"/>
          <w:shd w:val="clear" w:color="auto" w:fill="FFFFFF"/>
        </w:rPr>
        <w:t xml:space="preserve"> The Board petitioned for certification.</w:t>
      </w:r>
      <w:r w:rsidR="00EC0EAB">
        <w:rPr>
          <w:rStyle w:val="FootnoteReference"/>
          <w:rFonts w:eastAsia="Times New Roman" w:cs="Times New Roman"/>
          <w:color w:val="212121"/>
          <w:sz w:val="24"/>
          <w:szCs w:val="24"/>
          <w:shd w:val="clear" w:color="auto" w:fill="FFFFFF"/>
        </w:rPr>
        <w:footnoteReference w:id="27"/>
      </w:r>
      <w:r w:rsidR="00FA4662">
        <w:rPr>
          <w:rFonts w:ascii="Times New Roman" w:eastAsia="Times New Roman" w:hAnsi="Times New Roman" w:cs="Times New Roman"/>
          <w:color w:val="212121"/>
          <w:sz w:val="24"/>
          <w:szCs w:val="24"/>
          <w:shd w:val="clear" w:color="auto" w:fill="FFFFFF"/>
        </w:rPr>
        <w:t xml:space="preserve"> </w:t>
      </w:r>
    </w:p>
    <w:p w:rsidR="008527A7" w:rsidRPr="00994034" w:rsidRDefault="008527A7"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2E6632" w:rsidRDefault="002E6632" w:rsidP="008527A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8527A7" w:rsidRDefault="008527A7" w:rsidP="008527A7">
      <w:pPr>
        <w:spacing w:line="276" w:lineRule="auto"/>
        <w:jc w:val="center"/>
        <w:rPr>
          <w:rFonts w:ascii="Times New Roman" w:hAnsi="Times New Roman" w:cs="Times New Roman"/>
          <w:b/>
          <w:sz w:val="24"/>
          <w:szCs w:val="24"/>
        </w:rPr>
      </w:pPr>
    </w:p>
    <w:p w:rsidR="002E6632" w:rsidRPr="004F640C" w:rsidRDefault="004F640C" w:rsidP="008527A7">
      <w:pPr>
        <w:spacing w:line="276" w:lineRule="auto"/>
        <w:ind w:firstLine="720"/>
        <w:jc w:val="both"/>
        <w:rPr>
          <w:rFonts w:ascii="Times New Roman" w:eastAsia="Times New Roman" w:hAnsi="Times New Roman" w:cs="Times New Roman"/>
          <w:i/>
          <w:color w:val="212121"/>
          <w:sz w:val="24"/>
          <w:szCs w:val="24"/>
          <w:shd w:val="clear" w:color="auto" w:fill="FFFFFF"/>
        </w:rPr>
      </w:pPr>
      <w:r w:rsidRPr="004F640C">
        <w:rPr>
          <w:rFonts w:ascii="Segoe UI Semilight" w:eastAsia="Times New Roman" w:hAnsi="Segoe UI Semilight" w:cs="Segoe UI Semilight"/>
          <w:i/>
          <w:color w:val="212121"/>
          <w:sz w:val="24"/>
          <w:szCs w:val="24"/>
          <w:shd w:val="clear" w:color="auto" w:fill="FFFFFF"/>
        </w:rPr>
        <w:t>•</w:t>
      </w:r>
      <w:r w:rsidRPr="004F640C">
        <w:rPr>
          <w:rFonts w:ascii="Times New Roman" w:eastAsia="Times New Roman" w:hAnsi="Times New Roman" w:cs="Times New Roman"/>
          <w:i/>
          <w:color w:val="212121"/>
          <w:sz w:val="24"/>
          <w:szCs w:val="24"/>
          <w:shd w:val="clear" w:color="auto" w:fill="FFFFFF"/>
        </w:rPr>
        <w:t xml:space="preserve"> The Supreme Court of New Jersey </w:t>
      </w:r>
    </w:p>
    <w:p w:rsidR="005665A4" w:rsidRDefault="005665A4"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094622" w:rsidRPr="00CE6509" w:rsidRDefault="009A17B2"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The New Jersey Supreme Court granted the Board’s petition for certification.</w:t>
      </w:r>
      <w:r w:rsidR="00EC0EAB">
        <w:rPr>
          <w:rStyle w:val="FootnoteReference"/>
          <w:rFonts w:eastAsia="Times New Roman" w:cs="Times New Roman"/>
          <w:color w:val="212121"/>
          <w:sz w:val="24"/>
          <w:szCs w:val="24"/>
          <w:shd w:val="clear" w:color="auto" w:fill="FFFFFF"/>
        </w:rPr>
        <w:footnoteReference w:id="28"/>
      </w:r>
      <w:r>
        <w:rPr>
          <w:rFonts w:ascii="Times New Roman" w:eastAsia="Times New Roman" w:hAnsi="Times New Roman" w:cs="Times New Roman"/>
          <w:color w:val="212121"/>
          <w:sz w:val="24"/>
          <w:szCs w:val="24"/>
          <w:shd w:val="clear" w:color="auto" w:fill="FFFFFF"/>
        </w:rPr>
        <w:t xml:space="preserve"> </w:t>
      </w:r>
      <w:r w:rsidR="001B4E2E">
        <w:rPr>
          <w:rFonts w:ascii="Times New Roman" w:eastAsia="Times New Roman" w:hAnsi="Times New Roman" w:cs="Times New Roman"/>
          <w:color w:val="212121"/>
          <w:sz w:val="24"/>
          <w:szCs w:val="24"/>
          <w:shd w:val="clear" w:color="auto" w:fill="FFFFFF"/>
        </w:rPr>
        <w:t>After reviewing the record, the Supreme Court observed that, “[t]he essential facts [of this case] are undisputed and the issues … are questions of law.”</w:t>
      </w:r>
      <w:r w:rsidR="001B4E2E">
        <w:rPr>
          <w:rStyle w:val="FootnoteReference"/>
          <w:rFonts w:eastAsia="Times New Roman" w:cs="Times New Roman"/>
          <w:color w:val="212121"/>
          <w:sz w:val="24"/>
          <w:szCs w:val="24"/>
          <w:shd w:val="clear" w:color="auto" w:fill="FFFFFF"/>
        </w:rPr>
        <w:footnoteReference w:id="29"/>
      </w:r>
      <w:r w:rsidR="001B4E2E">
        <w:rPr>
          <w:rFonts w:ascii="Times New Roman" w:eastAsia="Times New Roman" w:hAnsi="Times New Roman" w:cs="Times New Roman"/>
          <w:color w:val="212121"/>
          <w:sz w:val="24"/>
          <w:szCs w:val="24"/>
          <w:shd w:val="clear" w:color="auto" w:fill="FFFFFF"/>
        </w:rPr>
        <w:t xml:space="preserve"> </w:t>
      </w:r>
      <w:r>
        <w:rPr>
          <w:rFonts w:ascii="Times New Roman" w:eastAsia="Times New Roman" w:hAnsi="Times New Roman" w:cs="Times New Roman"/>
          <w:color w:val="212121"/>
          <w:sz w:val="24"/>
          <w:szCs w:val="24"/>
          <w:shd w:val="clear" w:color="auto" w:fill="FFFFFF"/>
        </w:rPr>
        <w:t xml:space="preserve">The Court considered </w:t>
      </w:r>
      <w:r w:rsidR="00094622">
        <w:rPr>
          <w:rFonts w:ascii="Times New Roman" w:eastAsia="Times New Roman" w:hAnsi="Times New Roman" w:cs="Times New Roman"/>
          <w:color w:val="212121"/>
          <w:sz w:val="24"/>
          <w:szCs w:val="24"/>
          <w:shd w:val="clear" w:color="auto" w:fill="FFFFFF"/>
        </w:rPr>
        <w:t xml:space="preserve">the following </w:t>
      </w:r>
      <w:r w:rsidR="001B4E2E">
        <w:rPr>
          <w:rFonts w:ascii="Times New Roman" w:eastAsia="Times New Roman" w:hAnsi="Times New Roman" w:cs="Times New Roman"/>
          <w:color w:val="212121"/>
          <w:sz w:val="24"/>
          <w:szCs w:val="24"/>
          <w:shd w:val="clear" w:color="auto" w:fill="FFFFFF"/>
        </w:rPr>
        <w:t xml:space="preserve">legal </w:t>
      </w:r>
      <w:r w:rsidR="00094622">
        <w:rPr>
          <w:rFonts w:ascii="Times New Roman" w:eastAsia="Times New Roman" w:hAnsi="Times New Roman" w:cs="Times New Roman"/>
          <w:color w:val="212121"/>
          <w:sz w:val="24"/>
          <w:szCs w:val="24"/>
          <w:shd w:val="clear" w:color="auto" w:fill="FFFFFF"/>
        </w:rPr>
        <w:t xml:space="preserve">issues: </w:t>
      </w:r>
      <w:r>
        <w:rPr>
          <w:rFonts w:ascii="Times New Roman" w:eastAsia="Times New Roman" w:hAnsi="Times New Roman" w:cs="Times New Roman"/>
          <w:color w:val="212121"/>
          <w:sz w:val="24"/>
          <w:szCs w:val="24"/>
          <w:shd w:val="clear" w:color="auto" w:fill="FFFFFF"/>
        </w:rPr>
        <w:t xml:space="preserve">(1) the extent of the public body’s notice obligations under the OPMA and whether the </w:t>
      </w:r>
      <w:r>
        <w:rPr>
          <w:rFonts w:ascii="Times New Roman" w:eastAsia="Times New Roman" w:hAnsi="Times New Roman" w:cs="Times New Roman"/>
          <w:i/>
          <w:color w:val="212121"/>
          <w:sz w:val="24"/>
          <w:szCs w:val="24"/>
          <w:shd w:val="clear" w:color="auto" w:fill="FFFFFF"/>
        </w:rPr>
        <w:t xml:space="preserve">Rice </w:t>
      </w:r>
      <w:r>
        <w:rPr>
          <w:rFonts w:ascii="Times New Roman" w:eastAsia="Times New Roman" w:hAnsi="Times New Roman" w:cs="Times New Roman"/>
          <w:color w:val="212121"/>
          <w:sz w:val="24"/>
          <w:szCs w:val="24"/>
          <w:shd w:val="clear" w:color="auto" w:fill="FFFFFF"/>
        </w:rPr>
        <w:t xml:space="preserve">notice for the personnel </w:t>
      </w:r>
      <w:r w:rsidR="00094622">
        <w:rPr>
          <w:rFonts w:ascii="Times New Roman" w:eastAsia="Times New Roman" w:hAnsi="Times New Roman" w:cs="Times New Roman"/>
          <w:color w:val="212121"/>
          <w:sz w:val="24"/>
          <w:szCs w:val="24"/>
          <w:shd w:val="clear" w:color="auto" w:fill="FFFFFF"/>
        </w:rPr>
        <w:t>exception</w:t>
      </w:r>
      <w:r>
        <w:rPr>
          <w:rFonts w:ascii="Times New Roman" w:eastAsia="Times New Roman" w:hAnsi="Times New Roman" w:cs="Times New Roman"/>
          <w:color w:val="212121"/>
          <w:sz w:val="24"/>
          <w:szCs w:val="24"/>
          <w:shd w:val="clear" w:color="auto" w:fill="FFFFFF"/>
        </w:rPr>
        <w:t xml:space="preserve"> applied; (2) timing parameters for the release of minutes of meetings</w:t>
      </w:r>
      <w:r w:rsidR="00094622">
        <w:rPr>
          <w:rFonts w:ascii="Times New Roman" w:eastAsia="Times New Roman" w:hAnsi="Times New Roman" w:cs="Times New Roman"/>
          <w:color w:val="212121"/>
          <w:sz w:val="24"/>
          <w:szCs w:val="24"/>
          <w:shd w:val="clear" w:color="auto" w:fill="FFFFFF"/>
        </w:rPr>
        <w:t xml:space="preserve"> </w:t>
      </w:r>
      <w:r>
        <w:rPr>
          <w:rFonts w:ascii="Times New Roman" w:eastAsia="Times New Roman" w:hAnsi="Times New Roman" w:cs="Times New Roman"/>
          <w:color w:val="212121"/>
          <w:sz w:val="24"/>
          <w:szCs w:val="24"/>
          <w:shd w:val="clear" w:color="auto" w:fill="FFFFFF"/>
        </w:rPr>
        <w:t xml:space="preserve">and </w:t>
      </w:r>
      <w:r w:rsidR="00966D5A">
        <w:rPr>
          <w:rFonts w:ascii="Times New Roman" w:eastAsia="Times New Roman" w:hAnsi="Times New Roman" w:cs="Times New Roman"/>
          <w:color w:val="212121"/>
          <w:sz w:val="24"/>
          <w:szCs w:val="24"/>
          <w:shd w:val="clear" w:color="auto" w:fill="FFFFFF"/>
        </w:rPr>
        <w:t>t</w:t>
      </w:r>
      <w:r>
        <w:rPr>
          <w:rFonts w:ascii="Times New Roman" w:eastAsia="Times New Roman" w:hAnsi="Times New Roman" w:cs="Times New Roman"/>
          <w:color w:val="212121"/>
          <w:sz w:val="24"/>
          <w:szCs w:val="24"/>
          <w:shd w:val="clear" w:color="auto" w:fill="FFFFFF"/>
        </w:rPr>
        <w:t xml:space="preserve">he appropriate remedy </w:t>
      </w:r>
      <w:r w:rsidR="00966D5A">
        <w:rPr>
          <w:rFonts w:ascii="Times New Roman" w:eastAsia="Times New Roman" w:hAnsi="Times New Roman" w:cs="Times New Roman"/>
          <w:color w:val="212121"/>
          <w:sz w:val="24"/>
          <w:szCs w:val="24"/>
          <w:shd w:val="clear" w:color="auto" w:fill="FFFFFF"/>
        </w:rPr>
        <w:t>for a public body’s failure to make their meeting minutes promptly available to the public.</w:t>
      </w:r>
      <w:r w:rsidR="00094622">
        <w:rPr>
          <w:rStyle w:val="FootnoteReference"/>
          <w:rFonts w:eastAsia="Times New Roman" w:cs="Times New Roman"/>
          <w:color w:val="212121"/>
          <w:sz w:val="24"/>
          <w:szCs w:val="24"/>
          <w:shd w:val="clear" w:color="auto" w:fill="FFFFFF"/>
        </w:rPr>
        <w:footnoteReference w:id="30"/>
      </w:r>
      <w:r w:rsidR="00094622">
        <w:rPr>
          <w:rFonts w:ascii="Times New Roman" w:eastAsia="Times New Roman" w:hAnsi="Times New Roman" w:cs="Times New Roman"/>
          <w:color w:val="212121"/>
          <w:sz w:val="24"/>
          <w:szCs w:val="24"/>
          <w:shd w:val="clear" w:color="auto" w:fill="FFFFFF"/>
        </w:rPr>
        <w:t xml:space="preserve"> </w:t>
      </w:r>
    </w:p>
    <w:p w:rsidR="005665A4" w:rsidRDefault="005665A4" w:rsidP="008527A7">
      <w:pPr>
        <w:spacing w:line="276" w:lineRule="auto"/>
        <w:ind w:firstLine="720"/>
        <w:jc w:val="both"/>
        <w:rPr>
          <w:rFonts w:ascii="Times New Roman" w:eastAsia="Times New Roman" w:hAnsi="Times New Roman" w:cs="Times New Roman"/>
          <w:i/>
          <w:color w:val="212121"/>
          <w:sz w:val="24"/>
          <w:szCs w:val="24"/>
          <w:shd w:val="clear" w:color="auto" w:fill="FFFFFF"/>
        </w:rPr>
      </w:pPr>
    </w:p>
    <w:p w:rsidR="00966D5A" w:rsidRPr="00966D5A" w:rsidRDefault="00966D5A" w:rsidP="008527A7">
      <w:pPr>
        <w:spacing w:line="276" w:lineRule="auto"/>
        <w:ind w:firstLine="720"/>
        <w:jc w:val="both"/>
        <w:rPr>
          <w:rFonts w:ascii="Times New Roman" w:eastAsia="Times New Roman" w:hAnsi="Times New Roman" w:cs="Times New Roman"/>
          <w:i/>
          <w:color w:val="212121"/>
          <w:sz w:val="24"/>
          <w:szCs w:val="24"/>
          <w:shd w:val="clear" w:color="auto" w:fill="FFFFFF"/>
        </w:rPr>
      </w:pPr>
      <w:r>
        <w:rPr>
          <w:rFonts w:ascii="Times New Roman" w:eastAsia="Times New Roman" w:hAnsi="Times New Roman" w:cs="Times New Roman"/>
          <w:i/>
          <w:color w:val="212121"/>
          <w:sz w:val="24"/>
          <w:szCs w:val="24"/>
          <w:shd w:val="clear" w:color="auto" w:fill="FFFFFF"/>
        </w:rPr>
        <w:lastRenderedPageBreak/>
        <w:t xml:space="preserve">• </w:t>
      </w:r>
      <w:r w:rsidRPr="00966D5A">
        <w:rPr>
          <w:rFonts w:ascii="Times New Roman" w:eastAsia="Times New Roman" w:hAnsi="Times New Roman" w:cs="Times New Roman"/>
          <w:i/>
          <w:color w:val="212121"/>
          <w:sz w:val="24"/>
          <w:szCs w:val="24"/>
          <w:shd w:val="clear" w:color="auto" w:fill="FFFFFF"/>
        </w:rPr>
        <w:t>Notice</w:t>
      </w:r>
      <w:r>
        <w:rPr>
          <w:rFonts w:ascii="Times New Roman" w:eastAsia="Times New Roman" w:hAnsi="Times New Roman" w:cs="Times New Roman"/>
          <w:i/>
          <w:color w:val="212121"/>
          <w:sz w:val="24"/>
          <w:szCs w:val="24"/>
          <w:shd w:val="clear" w:color="auto" w:fill="FFFFFF"/>
        </w:rPr>
        <w:t xml:space="preserve"> under OPMA</w:t>
      </w:r>
    </w:p>
    <w:p w:rsidR="00685EC6" w:rsidRDefault="00685EC6"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6123DB" w:rsidRDefault="006123DB"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The OPMA generally requires the meetings of public bodies to be conducted in open session.</w:t>
      </w:r>
      <w:r>
        <w:rPr>
          <w:rStyle w:val="FootnoteReference"/>
          <w:rFonts w:eastAsia="Times New Roman" w:cs="Times New Roman"/>
          <w:color w:val="212121"/>
          <w:sz w:val="24"/>
          <w:szCs w:val="24"/>
          <w:shd w:val="clear" w:color="auto" w:fill="FFFFFF"/>
        </w:rPr>
        <w:footnoteReference w:id="31"/>
      </w:r>
      <w:r w:rsidR="005C0068">
        <w:rPr>
          <w:rFonts w:ascii="Times New Roman" w:eastAsia="Times New Roman" w:hAnsi="Times New Roman" w:cs="Times New Roman"/>
          <w:color w:val="212121"/>
          <w:sz w:val="24"/>
          <w:szCs w:val="24"/>
          <w:shd w:val="clear" w:color="auto" w:fill="FFFFFF"/>
        </w:rPr>
        <w:t xml:space="preserve"> </w:t>
      </w:r>
      <w:r w:rsidR="0014401D">
        <w:rPr>
          <w:rFonts w:ascii="Times New Roman" w:eastAsia="Times New Roman" w:hAnsi="Times New Roman" w:cs="Times New Roman"/>
          <w:color w:val="212121"/>
          <w:sz w:val="24"/>
          <w:szCs w:val="24"/>
          <w:shd w:val="clear" w:color="auto" w:fill="FFFFFF"/>
        </w:rPr>
        <w:t xml:space="preserve">When enacting the OPMA, the Legislature recognized that there are </w:t>
      </w:r>
      <w:r>
        <w:rPr>
          <w:rFonts w:ascii="Times New Roman" w:eastAsia="Times New Roman" w:hAnsi="Times New Roman" w:cs="Times New Roman"/>
          <w:color w:val="212121"/>
          <w:sz w:val="24"/>
          <w:szCs w:val="24"/>
          <w:shd w:val="clear" w:color="auto" w:fill="FFFFFF"/>
        </w:rPr>
        <w:t xml:space="preserve">certain circumstances under which a public body </w:t>
      </w:r>
      <w:r w:rsidR="0014401D">
        <w:rPr>
          <w:rFonts w:ascii="Times New Roman" w:eastAsia="Times New Roman" w:hAnsi="Times New Roman" w:cs="Times New Roman"/>
          <w:color w:val="212121"/>
          <w:sz w:val="24"/>
          <w:szCs w:val="24"/>
          <w:shd w:val="clear" w:color="auto" w:fill="FFFFFF"/>
        </w:rPr>
        <w:t xml:space="preserve">should be permitted to </w:t>
      </w:r>
      <w:r>
        <w:rPr>
          <w:rFonts w:ascii="Times New Roman" w:eastAsia="Times New Roman" w:hAnsi="Times New Roman" w:cs="Times New Roman"/>
          <w:color w:val="212121"/>
          <w:sz w:val="24"/>
          <w:szCs w:val="24"/>
          <w:shd w:val="clear" w:color="auto" w:fill="FFFFFF"/>
        </w:rPr>
        <w:t xml:space="preserve">enter </w:t>
      </w:r>
      <w:r w:rsidR="0014401D">
        <w:rPr>
          <w:rFonts w:ascii="Times New Roman" w:eastAsia="Times New Roman" w:hAnsi="Times New Roman" w:cs="Times New Roman"/>
          <w:color w:val="212121"/>
          <w:sz w:val="24"/>
          <w:szCs w:val="24"/>
          <w:shd w:val="clear" w:color="auto" w:fill="FFFFFF"/>
        </w:rPr>
        <w:t xml:space="preserve">into </w:t>
      </w:r>
      <w:r>
        <w:rPr>
          <w:rFonts w:ascii="Times New Roman" w:eastAsia="Times New Roman" w:hAnsi="Times New Roman" w:cs="Times New Roman"/>
          <w:color w:val="212121"/>
          <w:sz w:val="24"/>
          <w:szCs w:val="24"/>
          <w:shd w:val="clear" w:color="auto" w:fill="FFFFFF"/>
        </w:rPr>
        <w:t>closed session</w:t>
      </w:r>
      <w:r w:rsidR="004F640C">
        <w:rPr>
          <w:rFonts w:ascii="Times New Roman" w:eastAsia="Times New Roman" w:hAnsi="Times New Roman" w:cs="Times New Roman"/>
          <w:color w:val="212121"/>
          <w:sz w:val="24"/>
          <w:szCs w:val="24"/>
          <w:shd w:val="clear" w:color="auto" w:fill="FFFFFF"/>
        </w:rPr>
        <w:t xml:space="preserve"> discussions</w:t>
      </w:r>
      <w:r>
        <w:rPr>
          <w:rFonts w:ascii="Times New Roman" w:eastAsia="Times New Roman" w:hAnsi="Times New Roman" w:cs="Times New Roman"/>
          <w:color w:val="212121"/>
          <w:sz w:val="24"/>
          <w:szCs w:val="24"/>
          <w:shd w:val="clear" w:color="auto" w:fill="FFFFFF"/>
        </w:rPr>
        <w:t>.</w:t>
      </w:r>
      <w:r w:rsidR="002E2AFD">
        <w:rPr>
          <w:rStyle w:val="FootnoteReference"/>
          <w:rFonts w:eastAsia="Times New Roman" w:cs="Times New Roman"/>
          <w:color w:val="212121"/>
          <w:sz w:val="24"/>
          <w:szCs w:val="24"/>
          <w:shd w:val="clear" w:color="auto" w:fill="FFFFFF"/>
        </w:rPr>
        <w:footnoteReference w:id="32"/>
      </w:r>
      <w:r>
        <w:rPr>
          <w:rFonts w:ascii="Times New Roman" w:eastAsia="Times New Roman" w:hAnsi="Times New Roman" w:cs="Times New Roman"/>
          <w:color w:val="212121"/>
          <w:sz w:val="24"/>
          <w:szCs w:val="24"/>
          <w:shd w:val="clear" w:color="auto" w:fill="FFFFFF"/>
        </w:rPr>
        <w:t xml:space="preserve"> </w:t>
      </w:r>
      <w:r w:rsidR="002E2AFD">
        <w:rPr>
          <w:rFonts w:ascii="Times New Roman" w:eastAsia="Times New Roman" w:hAnsi="Times New Roman" w:cs="Times New Roman"/>
          <w:color w:val="212121"/>
          <w:sz w:val="24"/>
          <w:szCs w:val="24"/>
          <w:shd w:val="clear" w:color="auto" w:fill="FFFFFF"/>
        </w:rPr>
        <w:t xml:space="preserve">The exceptions to the open session requirements of the OPMA are set forth in N.J.S. 10:4-12(b).  In </w:t>
      </w:r>
      <w:r w:rsidR="002E2AFD">
        <w:rPr>
          <w:rFonts w:ascii="Times New Roman" w:eastAsia="Times New Roman" w:hAnsi="Times New Roman" w:cs="Times New Roman"/>
          <w:i/>
          <w:color w:val="212121"/>
          <w:sz w:val="24"/>
          <w:szCs w:val="24"/>
          <w:shd w:val="clear" w:color="auto" w:fill="FFFFFF"/>
        </w:rPr>
        <w:t xml:space="preserve">Kean Federation, </w:t>
      </w:r>
      <w:r w:rsidR="002E2AFD">
        <w:rPr>
          <w:rFonts w:ascii="Times New Roman" w:eastAsia="Times New Roman" w:hAnsi="Times New Roman" w:cs="Times New Roman"/>
          <w:color w:val="212121"/>
          <w:sz w:val="24"/>
          <w:szCs w:val="24"/>
          <w:shd w:val="clear" w:color="auto" w:fill="FFFFFF"/>
        </w:rPr>
        <w:t xml:space="preserve">the Supreme Court focused on the exception to the open session requirement </w:t>
      </w:r>
      <w:r w:rsidR="005C0068">
        <w:rPr>
          <w:rFonts w:ascii="Times New Roman" w:eastAsia="Times New Roman" w:hAnsi="Times New Roman" w:cs="Times New Roman"/>
          <w:color w:val="212121"/>
          <w:sz w:val="24"/>
          <w:szCs w:val="24"/>
          <w:shd w:val="clear" w:color="auto" w:fill="FFFFFF"/>
        </w:rPr>
        <w:t xml:space="preserve">set forth </w:t>
      </w:r>
      <w:r w:rsidR="00584C7C">
        <w:rPr>
          <w:rFonts w:ascii="Times New Roman" w:eastAsia="Times New Roman" w:hAnsi="Times New Roman" w:cs="Times New Roman"/>
          <w:color w:val="212121"/>
          <w:sz w:val="24"/>
          <w:szCs w:val="24"/>
          <w:shd w:val="clear" w:color="auto" w:fill="FFFFFF"/>
        </w:rPr>
        <w:t>in N.J.S. 10:4-12(b)(8)</w:t>
      </w:r>
      <w:r w:rsidR="005C0068">
        <w:rPr>
          <w:rFonts w:ascii="Times New Roman" w:eastAsia="Times New Roman" w:hAnsi="Times New Roman" w:cs="Times New Roman"/>
          <w:color w:val="212121"/>
          <w:sz w:val="24"/>
          <w:szCs w:val="24"/>
          <w:shd w:val="clear" w:color="auto" w:fill="FFFFFF"/>
        </w:rPr>
        <w:t xml:space="preserve">, relating to personnel matters. </w:t>
      </w:r>
    </w:p>
    <w:p w:rsidR="005B2456" w:rsidRDefault="005B2456"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584C7C" w:rsidRDefault="00584C7C"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When a public body is considering certain employment matters, it may exclude the public from that portion of the meeting.</w:t>
      </w:r>
      <w:r>
        <w:rPr>
          <w:rStyle w:val="FootnoteReference"/>
          <w:rFonts w:eastAsia="Times New Roman" w:cs="Times New Roman"/>
          <w:color w:val="212121"/>
          <w:sz w:val="24"/>
          <w:szCs w:val="24"/>
          <w:shd w:val="clear" w:color="auto" w:fill="FFFFFF"/>
        </w:rPr>
        <w:footnoteReference w:id="33"/>
      </w:r>
      <w:r>
        <w:rPr>
          <w:rFonts w:ascii="Times New Roman" w:eastAsia="Times New Roman" w:hAnsi="Times New Roman" w:cs="Times New Roman"/>
          <w:color w:val="212121"/>
          <w:sz w:val="24"/>
          <w:szCs w:val="24"/>
          <w:shd w:val="clear" w:color="auto" w:fill="FFFFFF"/>
        </w:rPr>
        <w:t xml:space="preserve"> The </w:t>
      </w:r>
      <w:r w:rsidR="00E8446D">
        <w:rPr>
          <w:rFonts w:ascii="Times New Roman" w:eastAsia="Times New Roman" w:hAnsi="Times New Roman" w:cs="Times New Roman"/>
          <w:color w:val="212121"/>
          <w:sz w:val="24"/>
          <w:szCs w:val="24"/>
          <w:shd w:val="clear" w:color="auto" w:fill="FFFFFF"/>
        </w:rPr>
        <w:t>Act</w:t>
      </w:r>
      <w:r>
        <w:rPr>
          <w:rFonts w:ascii="Times New Roman" w:eastAsia="Times New Roman" w:hAnsi="Times New Roman" w:cs="Times New Roman"/>
          <w:color w:val="212121"/>
          <w:sz w:val="24"/>
          <w:szCs w:val="24"/>
          <w:shd w:val="clear" w:color="auto" w:fill="FFFFFF"/>
        </w:rPr>
        <w:t xml:space="preserve"> provides, in relevant part</w:t>
      </w:r>
      <w:r w:rsidR="00E8446D">
        <w:rPr>
          <w:rFonts w:ascii="Times New Roman" w:eastAsia="Times New Roman" w:hAnsi="Times New Roman" w:cs="Times New Roman"/>
          <w:color w:val="212121"/>
          <w:sz w:val="24"/>
          <w:szCs w:val="24"/>
          <w:shd w:val="clear" w:color="auto" w:fill="FFFFFF"/>
        </w:rPr>
        <w:t>:</w:t>
      </w:r>
    </w:p>
    <w:p w:rsidR="00E8446D" w:rsidRDefault="00E8446D"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E8446D" w:rsidRDefault="00E8446D" w:rsidP="008527A7">
      <w:pPr>
        <w:spacing w:line="276" w:lineRule="auto"/>
        <w:ind w:left="720" w:right="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A public body may exclude the public only from that portion of the meeting at which the public body discusses any:</w:t>
      </w:r>
    </w:p>
    <w:p w:rsidR="00E8446D" w:rsidRDefault="00E8446D" w:rsidP="008527A7">
      <w:pPr>
        <w:spacing w:line="276" w:lineRule="auto"/>
        <w:ind w:left="1440" w:right="1440"/>
        <w:jc w:val="both"/>
        <w:rPr>
          <w:rFonts w:ascii="Times New Roman" w:eastAsia="Times New Roman" w:hAnsi="Times New Roman" w:cs="Times New Roman"/>
          <w:color w:val="212121"/>
          <w:sz w:val="24"/>
          <w:szCs w:val="24"/>
          <w:shd w:val="clear" w:color="auto" w:fill="FFFFFF"/>
        </w:rPr>
      </w:pPr>
    </w:p>
    <w:p w:rsidR="00E8446D" w:rsidRDefault="00E8446D" w:rsidP="008527A7">
      <w:pPr>
        <w:spacing w:line="276" w:lineRule="auto"/>
        <w:ind w:left="720" w:right="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 </w:t>
      </w:r>
      <w:r w:rsidRPr="00E8446D">
        <w:rPr>
          <w:rFonts w:ascii="Times New Roman" w:eastAsia="Times New Roman" w:hAnsi="Times New Roman" w:cs="Times New Roman"/>
          <w:color w:val="212121"/>
          <w:sz w:val="24"/>
          <w:szCs w:val="24"/>
          <w:shd w:val="clear" w:color="auto" w:fill="FFFFFF"/>
        </w:rPr>
        <w:t>matter involving the employment, appointment, termination of employment, terms and conditions of employment, evaluation of the performance of, promotion, or disciplining of any specific prospective public officer or employee or current public officer or employee employed or appointed by the public body, unless all the individual employees or appointees whose rights could be adversely affected request in writing that the matter or matters be discussed at a public meeting</w:t>
      </w:r>
      <w:r>
        <w:rPr>
          <w:rFonts w:ascii="Times New Roman" w:eastAsia="Times New Roman" w:hAnsi="Times New Roman" w:cs="Times New Roman"/>
          <w:color w:val="212121"/>
          <w:sz w:val="24"/>
          <w:szCs w:val="24"/>
          <w:shd w:val="clear" w:color="auto" w:fill="FFFFFF"/>
        </w:rPr>
        <w:t>….</w:t>
      </w:r>
    </w:p>
    <w:p w:rsidR="00584C7C" w:rsidRDefault="00584C7C"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BF6EC0" w:rsidRDefault="00BF6EC0" w:rsidP="008527A7">
      <w:pPr>
        <w:spacing w:line="276" w:lineRule="auto"/>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The authority of a public body to exclude the public from a portion of a meeting is clearly set forth in N.J.S. 10:4-12(b</w:t>
      </w:r>
      <w:proofErr w:type="gramStart"/>
      <w:r>
        <w:rPr>
          <w:rFonts w:ascii="Times New Roman" w:eastAsia="Times New Roman" w:hAnsi="Times New Roman" w:cs="Times New Roman"/>
          <w:color w:val="212121"/>
          <w:sz w:val="24"/>
          <w:szCs w:val="24"/>
          <w:shd w:val="clear" w:color="auto" w:fill="FFFFFF"/>
        </w:rPr>
        <w:t>)(</w:t>
      </w:r>
      <w:proofErr w:type="gramEnd"/>
      <w:r>
        <w:rPr>
          <w:rFonts w:ascii="Times New Roman" w:eastAsia="Times New Roman" w:hAnsi="Times New Roman" w:cs="Times New Roman"/>
          <w:color w:val="212121"/>
          <w:sz w:val="24"/>
          <w:szCs w:val="24"/>
          <w:shd w:val="clear" w:color="auto" w:fill="FFFFFF"/>
        </w:rPr>
        <w:t>8).</w:t>
      </w:r>
      <w:r w:rsidR="0060376F">
        <w:rPr>
          <w:rStyle w:val="FootnoteReference"/>
          <w:rFonts w:eastAsia="Times New Roman" w:cs="Times New Roman"/>
          <w:color w:val="212121"/>
          <w:sz w:val="24"/>
          <w:szCs w:val="24"/>
          <w:shd w:val="clear" w:color="auto" w:fill="FFFFFF"/>
        </w:rPr>
        <w:footnoteReference w:id="34"/>
      </w:r>
      <w:r>
        <w:rPr>
          <w:rFonts w:ascii="Times New Roman" w:eastAsia="Times New Roman" w:hAnsi="Times New Roman" w:cs="Times New Roman"/>
          <w:color w:val="212121"/>
          <w:sz w:val="24"/>
          <w:szCs w:val="24"/>
          <w:shd w:val="clear" w:color="auto" w:fill="FFFFFF"/>
        </w:rPr>
        <w:t xml:space="preserve"> </w:t>
      </w:r>
      <w:r w:rsidR="0060376F">
        <w:rPr>
          <w:rFonts w:ascii="Times New Roman" w:eastAsia="Times New Roman" w:hAnsi="Times New Roman" w:cs="Times New Roman"/>
          <w:color w:val="212121"/>
          <w:sz w:val="24"/>
          <w:szCs w:val="24"/>
          <w:shd w:val="clear" w:color="auto" w:fill="FFFFFF"/>
        </w:rPr>
        <w:t xml:space="preserve">The decision of a public body to exclude members of the public from a discussion of those matters set forth in N.J.S. 10:4-12(b)(8), </w:t>
      </w:r>
      <w:r w:rsidR="005C0068">
        <w:rPr>
          <w:rFonts w:ascii="Times New Roman" w:eastAsia="Times New Roman" w:hAnsi="Times New Roman" w:cs="Times New Roman"/>
          <w:color w:val="212121"/>
          <w:sz w:val="24"/>
          <w:szCs w:val="24"/>
          <w:shd w:val="clear" w:color="auto" w:fill="FFFFFF"/>
        </w:rPr>
        <w:t xml:space="preserve">however, </w:t>
      </w:r>
      <w:r w:rsidR="0060376F">
        <w:rPr>
          <w:rFonts w:ascii="Times New Roman" w:eastAsia="Times New Roman" w:hAnsi="Times New Roman" w:cs="Times New Roman"/>
          <w:color w:val="212121"/>
          <w:sz w:val="24"/>
          <w:szCs w:val="24"/>
          <w:shd w:val="clear" w:color="auto" w:fill="FFFFFF"/>
        </w:rPr>
        <w:t xml:space="preserve">may be overridden by what has come to be known as </w:t>
      </w:r>
      <w:r w:rsidR="00E8446D">
        <w:rPr>
          <w:rFonts w:ascii="Times New Roman" w:eastAsia="Times New Roman" w:hAnsi="Times New Roman" w:cs="Times New Roman"/>
          <w:color w:val="212121"/>
          <w:sz w:val="24"/>
          <w:szCs w:val="24"/>
          <w:shd w:val="clear" w:color="auto" w:fill="FFFFFF"/>
        </w:rPr>
        <w:t>the “personnel exception” to the OPMA.</w:t>
      </w:r>
      <w:r w:rsidR="005C0068">
        <w:rPr>
          <w:rStyle w:val="FootnoteReference"/>
          <w:rFonts w:eastAsia="Times New Roman" w:cs="Times New Roman"/>
          <w:color w:val="212121"/>
          <w:sz w:val="24"/>
          <w:szCs w:val="24"/>
          <w:shd w:val="clear" w:color="auto" w:fill="FFFFFF"/>
        </w:rPr>
        <w:footnoteReference w:id="35"/>
      </w:r>
      <w:r w:rsidR="00E8446D">
        <w:rPr>
          <w:rFonts w:ascii="Times New Roman" w:eastAsia="Times New Roman" w:hAnsi="Times New Roman" w:cs="Times New Roman"/>
          <w:color w:val="212121"/>
          <w:sz w:val="24"/>
          <w:szCs w:val="24"/>
          <w:shd w:val="clear" w:color="auto" w:fill="FFFFFF"/>
        </w:rPr>
        <w:t xml:space="preserve"> </w:t>
      </w:r>
    </w:p>
    <w:p w:rsidR="005B2456" w:rsidRDefault="005B2456" w:rsidP="008527A7">
      <w:pPr>
        <w:spacing w:line="276" w:lineRule="auto"/>
        <w:jc w:val="both"/>
        <w:rPr>
          <w:rFonts w:ascii="Times New Roman" w:eastAsia="Times New Roman" w:hAnsi="Times New Roman" w:cs="Times New Roman"/>
          <w:color w:val="212121"/>
          <w:sz w:val="24"/>
          <w:szCs w:val="24"/>
          <w:shd w:val="clear" w:color="auto" w:fill="FFFFFF"/>
        </w:rPr>
      </w:pPr>
    </w:p>
    <w:p w:rsidR="00584C7C" w:rsidRDefault="00BF6EC0"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The “personnel exception” to the OPMA </w:t>
      </w:r>
      <w:r w:rsidR="003E5871">
        <w:rPr>
          <w:rFonts w:ascii="Times New Roman" w:eastAsia="Times New Roman" w:hAnsi="Times New Roman" w:cs="Times New Roman"/>
          <w:color w:val="212121"/>
          <w:sz w:val="24"/>
          <w:szCs w:val="24"/>
          <w:shd w:val="clear" w:color="auto" w:fill="FFFFFF"/>
        </w:rPr>
        <w:t>permits employees “whose employment interests could be adversely affected … to waive the protection of having their matter discussed in closed session”</w:t>
      </w:r>
      <w:r w:rsidR="003E5871">
        <w:rPr>
          <w:rStyle w:val="FootnoteReference"/>
          <w:rFonts w:eastAsia="Times New Roman" w:cs="Times New Roman"/>
          <w:color w:val="212121"/>
          <w:sz w:val="24"/>
          <w:szCs w:val="24"/>
          <w:shd w:val="clear" w:color="auto" w:fill="FFFFFF"/>
        </w:rPr>
        <w:footnoteReference w:id="36"/>
      </w:r>
      <w:r w:rsidR="003E5871">
        <w:rPr>
          <w:rFonts w:ascii="Times New Roman" w:eastAsia="Times New Roman" w:hAnsi="Times New Roman" w:cs="Times New Roman"/>
          <w:color w:val="212121"/>
          <w:sz w:val="24"/>
          <w:szCs w:val="24"/>
          <w:shd w:val="clear" w:color="auto" w:fill="FFFFFF"/>
        </w:rPr>
        <w:t xml:space="preserve"> </w:t>
      </w:r>
      <w:r w:rsidR="00111314">
        <w:rPr>
          <w:rFonts w:ascii="Times New Roman" w:eastAsia="Times New Roman" w:hAnsi="Times New Roman" w:cs="Times New Roman"/>
          <w:color w:val="212121"/>
          <w:sz w:val="24"/>
          <w:szCs w:val="24"/>
          <w:shd w:val="clear" w:color="auto" w:fill="FFFFFF"/>
        </w:rPr>
        <w:t xml:space="preserve">and elect to </w:t>
      </w:r>
      <w:r w:rsidR="003E5871">
        <w:rPr>
          <w:rFonts w:ascii="Times New Roman" w:eastAsia="Times New Roman" w:hAnsi="Times New Roman" w:cs="Times New Roman"/>
          <w:color w:val="212121"/>
          <w:sz w:val="24"/>
          <w:szCs w:val="24"/>
          <w:shd w:val="clear" w:color="auto" w:fill="FFFFFF"/>
        </w:rPr>
        <w:t xml:space="preserve">have </w:t>
      </w:r>
      <w:r w:rsidR="007A5D8C">
        <w:rPr>
          <w:rFonts w:ascii="Times New Roman" w:eastAsia="Times New Roman" w:hAnsi="Times New Roman" w:cs="Times New Roman"/>
          <w:color w:val="212121"/>
          <w:sz w:val="24"/>
          <w:szCs w:val="24"/>
          <w:shd w:val="clear" w:color="auto" w:fill="FFFFFF"/>
        </w:rPr>
        <w:t xml:space="preserve">his, or her, </w:t>
      </w:r>
      <w:r w:rsidR="003E5871">
        <w:rPr>
          <w:rFonts w:ascii="Times New Roman" w:eastAsia="Times New Roman" w:hAnsi="Times New Roman" w:cs="Times New Roman"/>
          <w:color w:val="212121"/>
          <w:sz w:val="24"/>
          <w:szCs w:val="24"/>
          <w:shd w:val="clear" w:color="auto" w:fill="FFFFFF"/>
        </w:rPr>
        <w:t xml:space="preserve">employment issue </w:t>
      </w:r>
      <w:r w:rsidR="00111314">
        <w:rPr>
          <w:rFonts w:ascii="Times New Roman" w:eastAsia="Times New Roman" w:hAnsi="Times New Roman" w:cs="Times New Roman"/>
          <w:color w:val="212121"/>
          <w:sz w:val="24"/>
          <w:szCs w:val="24"/>
          <w:shd w:val="clear" w:color="auto" w:fill="FFFFFF"/>
        </w:rPr>
        <w:t xml:space="preserve">discussed in </w:t>
      </w:r>
      <w:r w:rsidR="007A5D8C">
        <w:rPr>
          <w:rFonts w:ascii="Times New Roman" w:eastAsia="Times New Roman" w:hAnsi="Times New Roman" w:cs="Times New Roman"/>
          <w:color w:val="212121"/>
          <w:sz w:val="24"/>
          <w:szCs w:val="24"/>
          <w:shd w:val="clear" w:color="auto" w:fill="FFFFFF"/>
        </w:rPr>
        <w:t xml:space="preserve">a </w:t>
      </w:r>
      <w:r w:rsidR="00111314">
        <w:rPr>
          <w:rFonts w:ascii="Times New Roman" w:eastAsia="Times New Roman" w:hAnsi="Times New Roman" w:cs="Times New Roman"/>
          <w:color w:val="212121"/>
          <w:sz w:val="24"/>
          <w:szCs w:val="24"/>
          <w:shd w:val="clear" w:color="auto" w:fill="FFFFFF"/>
        </w:rPr>
        <w:t>public</w:t>
      </w:r>
      <w:r w:rsidR="007A5D8C">
        <w:rPr>
          <w:rFonts w:ascii="Times New Roman" w:eastAsia="Times New Roman" w:hAnsi="Times New Roman" w:cs="Times New Roman"/>
          <w:color w:val="212121"/>
          <w:sz w:val="24"/>
          <w:szCs w:val="24"/>
          <w:shd w:val="clear" w:color="auto" w:fill="FFFFFF"/>
        </w:rPr>
        <w:t xml:space="preserve"> forum</w:t>
      </w:r>
      <w:r w:rsidR="00111314">
        <w:rPr>
          <w:rFonts w:ascii="Times New Roman" w:eastAsia="Times New Roman" w:hAnsi="Times New Roman" w:cs="Times New Roman"/>
          <w:color w:val="212121"/>
          <w:sz w:val="24"/>
          <w:szCs w:val="24"/>
          <w:shd w:val="clear" w:color="auto" w:fill="FFFFFF"/>
        </w:rPr>
        <w:t>.</w:t>
      </w:r>
      <w:r w:rsidR="007A5D8C">
        <w:rPr>
          <w:rStyle w:val="FootnoteReference"/>
          <w:rFonts w:eastAsia="Times New Roman" w:cs="Times New Roman"/>
          <w:color w:val="212121"/>
          <w:sz w:val="24"/>
          <w:szCs w:val="24"/>
          <w:shd w:val="clear" w:color="auto" w:fill="FFFFFF"/>
        </w:rPr>
        <w:footnoteReference w:id="37"/>
      </w:r>
      <w:r w:rsidR="00111314">
        <w:rPr>
          <w:rFonts w:ascii="Times New Roman" w:eastAsia="Times New Roman" w:hAnsi="Times New Roman" w:cs="Times New Roman"/>
          <w:color w:val="212121"/>
          <w:sz w:val="24"/>
          <w:szCs w:val="24"/>
          <w:shd w:val="clear" w:color="auto" w:fill="FFFFFF"/>
        </w:rPr>
        <w:t xml:space="preserve"> </w:t>
      </w:r>
      <w:r w:rsidR="00750C28">
        <w:rPr>
          <w:rFonts w:ascii="Times New Roman" w:eastAsia="Times New Roman" w:hAnsi="Times New Roman" w:cs="Times New Roman"/>
          <w:color w:val="212121"/>
          <w:sz w:val="24"/>
          <w:szCs w:val="24"/>
          <w:shd w:val="clear" w:color="auto" w:fill="FFFFFF"/>
        </w:rPr>
        <w:t>T</w:t>
      </w:r>
      <w:r w:rsidR="00D46744">
        <w:rPr>
          <w:rFonts w:ascii="Times New Roman" w:eastAsia="Times New Roman" w:hAnsi="Times New Roman" w:cs="Times New Roman"/>
          <w:color w:val="212121"/>
          <w:sz w:val="24"/>
          <w:szCs w:val="24"/>
          <w:shd w:val="clear" w:color="auto" w:fill="FFFFFF"/>
        </w:rPr>
        <w:t xml:space="preserve">o effectuate </w:t>
      </w:r>
      <w:r w:rsidR="00014CEC">
        <w:rPr>
          <w:rFonts w:ascii="Times New Roman" w:eastAsia="Times New Roman" w:hAnsi="Times New Roman" w:cs="Times New Roman"/>
          <w:color w:val="212121"/>
          <w:sz w:val="24"/>
          <w:szCs w:val="24"/>
          <w:shd w:val="clear" w:color="auto" w:fill="FFFFFF"/>
        </w:rPr>
        <w:t>the right</w:t>
      </w:r>
      <w:r w:rsidR="00750C28">
        <w:rPr>
          <w:rFonts w:ascii="Times New Roman" w:eastAsia="Times New Roman" w:hAnsi="Times New Roman" w:cs="Times New Roman"/>
          <w:color w:val="212121"/>
          <w:sz w:val="24"/>
          <w:szCs w:val="24"/>
          <w:shd w:val="clear" w:color="auto" w:fill="FFFFFF"/>
        </w:rPr>
        <w:t xml:space="preserve"> </w:t>
      </w:r>
      <w:r w:rsidR="00D46744">
        <w:rPr>
          <w:rFonts w:ascii="Times New Roman" w:eastAsia="Times New Roman" w:hAnsi="Times New Roman" w:cs="Times New Roman"/>
          <w:color w:val="212121"/>
          <w:sz w:val="24"/>
          <w:szCs w:val="24"/>
          <w:shd w:val="clear" w:color="auto" w:fill="FFFFFF"/>
        </w:rPr>
        <w:t>to override the</w:t>
      </w:r>
      <w:r w:rsidR="00750C28">
        <w:rPr>
          <w:rFonts w:ascii="Times New Roman" w:eastAsia="Times New Roman" w:hAnsi="Times New Roman" w:cs="Times New Roman"/>
          <w:color w:val="212121"/>
          <w:sz w:val="24"/>
          <w:szCs w:val="24"/>
          <w:shd w:val="clear" w:color="auto" w:fill="FFFFFF"/>
        </w:rPr>
        <w:t xml:space="preserve"> public body’s decision to institute a closed session discussion of </w:t>
      </w:r>
      <w:r w:rsidR="00014CEC">
        <w:rPr>
          <w:rFonts w:ascii="Times New Roman" w:eastAsia="Times New Roman" w:hAnsi="Times New Roman" w:cs="Times New Roman"/>
          <w:color w:val="212121"/>
          <w:sz w:val="24"/>
          <w:szCs w:val="24"/>
          <w:shd w:val="clear" w:color="auto" w:fill="FFFFFF"/>
        </w:rPr>
        <w:t>an individual’s</w:t>
      </w:r>
      <w:r w:rsidR="00750C28">
        <w:rPr>
          <w:rFonts w:ascii="Times New Roman" w:eastAsia="Times New Roman" w:hAnsi="Times New Roman" w:cs="Times New Roman"/>
          <w:color w:val="212121"/>
          <w:sz w:val="24"/>
          <w:szCs w:val="24"/>
          <w:shd w:val="clear" w:color="auto" w:fill="FFFFFF"/>
        </w:rPr>
        <w:t xml:space="preserve"> employment matter the Appellate Division</w:t>
      </w:r>
      <w:r w:rsidR="00014CEC">
        <w:rPr>
          <w:rFonts w:ascii="Times New Roman" w:eastAsia="Times New Roman" w:hAnsi="Times New Roman" w:cs="Times New Roman"/>
          <w:color w:val="212121"/>
          <w:sz w:val="24"/>
          <w:szCs w:val="24"/>
          <w:shd w:val="clear" w:color="auto" w:fill="FFFFFF"/>
        </w:rPr>
        <w:t>,</w:t>
      </w:r>
      <w:r w:rsidR="00750C28">
        <w:rPr>
          <w:rFonts w:ascii="Times New Roman" w:eastAsia="Times New Roman" w:hAnsi="Times New Roman" w:cs="Times New Roman"/>
          <w:color w:val="212121"/>
          <w:sz w:val="24"/>
          <w:szCs w:val="24"/>
          <w:shd w:val="clear" w:color="auto" w:fill="FFFFFF"/>
        </w:rPr>
        <w:t xml:space="preserve"> in </w:t>
      </w:r>
      <w:r w:rsidR="00750C28">
        <w:rPr>
          <w:rFonts w:ascii="Times New Roman" w:eastAsia="Times New Roman" w:hAnsi="Times New Roman" w:cs="Times New Roman"/>
          <w:i/>
          <w:color w:val="212121"/>
          <w:sz w:val="24"/>
          <w:szCs w:val="24"/>
          <w:shd w:val="clear" w:color="auto" w:fill="FFFFFF"/>
        </w:rPr>
        <w:t>Rice</w:t>
      </w:r>
      <w:r w:rsidR="00750C28">
        <w:rPr>
          <w:rFonts w:ascii="Times New Roman" w:eastAsia="Times New Roman" w:hAnsi="Times New Roman" w:cs="Times New Roman"/>
          <w:color w:val="212121"/>
          <w:sz w:val="24"/>
          <w:szCs w:val="24"/>
          <w:shd w:val="clear" w:color="auto" w:fill="FFFFFF"/>
        </w:rPr>
        <w:t>, held that these individuals are entitled to notice.</w:t>
      </w:r>
      <w:r w:rsidR="00750C28">
        <w:rPr>
          <w:rStyle w:val="FootnoteReference"/>
          <w:rFonts w:eastAsia="Times New Roman" w:cs="Times New Roman"/>
          <w:color w:val="212121"/>
          <w:sz w:val="24"/>
          <w:szCs w:val="24"/>
          <w:shd w:val="clear" w:color="auto" w:fill="FFFFFF"/>
        </w:rPr>
        <w:footnoteReference w:id="38"/>
      </w:r>
      <w:r w:rsidR="00750C28">
        <w:rPr>
          <w:rFonts w:ascii="Times New Roman" w:eastAsia="Times New Roman" w:hAnsi="Times New Roman" w:cs="Times New Roman"/>
          <w:color w:val="212121"/>
          <w:sz w:val="24"/>
          <w:szCs w:val="24"/>
          <w:shd w:val="clear" w:color="auto" w:fill="FFFFFF"/>
        </w:rPr>
        <w:t xml:space="preserve"> </w:t>
      </w:r>
    </w:p>
    <w:p w:rsidR="005B2456" w:rsidRDefault="005B2456"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0F2CB2" w:rsidRDefault="00830F01"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In </w:t>
      </w:r>
      <w:r w:rsidR="00014CEC" w:rsidRPr="00014CEC">
        <w:rPr>
          <w:rFonts w:ascii="Times New Roman" w:eastAsia="Times New Roman" w:hAnsi="Times New Roman" w:cs="Times New Roman"/>
          <w:i/>
          <w:color w:val="212121"/>
          <w:sz w:val="24"/>
          <w:szCs w:val="24"/>
          <w:shd w:val="clear" w:color="auto" w:fill="FFFFFF"/>
        </w:rPr>
        <w:t>Kean Federation</w:t>
      </w:r>
      <w:r>
        <w:rPr>
          <w:rFonts w:ascii="Times New Roman" w:eastAsia="Times New Roman" w:hAnsi="Times New Roman" w:cs="Times New Roman"/>
          <w:color w:val="212121"/>
          <w:sz w:val="24"/>
          <w:szCs w:val="24"/>
          <w:shd w:val="clear" w:color="auto" w:fill="FFFFFF"/>
        </w:rPr>
        <w:t>, t</w:t>
      </w:r>
      <w:r w:rsidR="00685EC6">
        <w:rPr>
          <w:rFonts w:ascii="Times New Roman" w:eastAsia="Times New Roman" w:hAnsi="Times New Roman" w:cs="Times New Roman"/>
          <w:color w:val="212121"/>
          <w:sz w:val="24"/>
          <w:szCs w:val="24"/>
          <w:shd w:val="clear" w:color="auto" w:fill="FFFFFF"/>
        </w:rPr>
        <w:t xml:space="preserve">he Supreme Court declined to </w:t>
      </w:r>
      <w:r w:rsidR="00DC6BDE">
        <w:rPr>
          <w:rFonts w:ascii="Times New Roman" w:eastAsia="Times New Roman" w:hAnsi="Times New Roman" w:cs="Times New Roman"/>
          <w:color w:val="212121"/>
          <w:sz w:val="24"/>
          <w:szCs w:val="24"/>
          <w:shd w:val="clear" w:color="auto" w:fill="FFFFFF"/>
        </w:rPr>
        <w:t xml:space="preserve">adopt the Appellate Division’s expansion of </w:t>
      </w:r>
      <w:r w:rsidR="00FF2C9E">
        <w:rPr>
          <w:rFonts w:ascii="Times New Roman" w:eastAsia="Times New Roman" w:hAnsi="Times New Roman" w:cs="Times New Roman"/>
          <w:color w:val="212121"/>
          <w:sz w:val="24"/>
          <w:szCs w:val="24"/>
          <w:shd w:val="clear" w:color="auto" w:fill="FFFFFF"/>
        </w:rPr>
        <w:t xml:space="preserve">the notice requirements set forth in </w:t>
      </w:r>
      <w:r w:rsidR="00FF2C9E">
        <w:rPr>
          <w:rFonts w:ascii="Times New Roman" w:eastAsia="Times New Roman" w:hAnsi="Times New Roman" w:cs="Times New Roman"/>
          <w:i/>
          <w:color w:val="212121"/>
          <w:sz w:val="24"/>
          <w:szCs w:val="24"/>
          <w:shd w:val="clear" w:color="auto" w:fill="FFFFFF"/>
        </w:rPr>
        <w:t>Rice.</w:t>
      </w:r>
      <w:r w:rsidR="00FF2C9E" w:rsidRPr="00DC6BDE">
        <w:rPr>
          <w:rStyle w:val="FootnoteReference"/>
          <w:rFonts w:eastAsia="Times New Roman" w:cs="Times New Roman"/>
          <w:color w:val="212121"/>
          <w:sz w:val="24"/>
          <w:szCs w:val="24"/>
          <w:shd w:val="clear" w:color="auto" w:fill="FFFFFF"/>
        </w:rPr>
        <w:footnoteReference w:id="39"/>
      </w:r>
      <w:r w:rsidR="00FF2C9E">
        <w:rPr>
          <w:rFonts w:ascii="Times New Roman" w:eastAsia="Times New Roman" w:hAnsi="Times New Roman" w:cs="Times New Roman"/>
          <w:i/>
          <w:color w:val="212121"/>
          <w:sz w:val="24"/>
          <w:szCs w:val="24"/>
          <w:shd w:val="clear" w:color="auto" w:fill="FFFFFF"/>
        </w:rPr>
        <w:t xml:space="preserve"> </w:t>
      </w:r>
      <w:r w:rsidR="00FF2C9E" w:rsidRPr="00FF2C9E">
        <w:rPr>
          <w:rFonts w:ascii="Times New Roman" w:eastAsia="Times New Roman" w:hAnsi="Times New Roman" w:cs="Times New Roman"/>
          <w:color w:val="212121"/>
          <w:sz w:val="24"/>
          <w:szCs w:val="24"/>
          <w:shd w:val="clear" w:color="auto" w:fill="FFFFFF"/>
        </w:rPr>
        <w:t xml:space="preserve">The </w:t>
      </w:r>
      <w:r w:rsidR="005315C8">
        <w:rPr>
          <w:rFonts w:ascii="Times New Roman" w:eastAsia="Times New Roman" w:hAnsi="Times New Roman" w:cs="Times New Roman"/>
          <w:color w:val="212121"/>
          <w:sz w:val="24"/>
          <w:szCs w:val="24"/>
          <w:shd w:val="clear" w:color="auto" w:fill="FFFFFF"/>
        </w:rPr>
        <w:t>Supreme Court held</w:t>
      </w:r>
      <w:r w:rsidR="00FF2C9E">
        <w:rPr>
          <w:rFonts w:ascii="Times New Roman" w:eastAsia="Times New Roman" w:hAnsi="Times New Roman" w:cs="Times New Roman"/>
          <w:color w:val="212121"/>
          <w:sz w:val="24"/>
          <w:szCs w:val="24"/>
          <w:shd w:val="clear" w:color="auto" w:fill="FFFFFF"/>
        </w:rPr>
        <w:t xml:space="preserve">, “[n]either N.J.S.A. 10:4-12(b)(8) nor </w:t>
      </w:r>
      <w:r w:rsidR="00FF2C9E">
        <w:rPr>
          <w:rFonts w:ascii="Times New Roman" w:eastAsia="Times New Roman" w:hAnsi="Times New Roman" w:cs="Times New Roman"/>
          <w:i/>
          <w:color w:val="212121"/>
          <w:sz w:val="24"/>
          <w:szCs w:val="24"/>
          <w:shd w:val="clear" w:color="auto" w:fill="FFFFFF"/>
        </w:rPr>
        <w:t>Rice</w:t>
      </w:r>
      <w:r w:rsidR="00FF2C9E">
        <w:rPr>
          <w:rFonts w:ascii="Times New Roman" w:eastAsia="Times New Roman" w:hAnsi="Times New Roman" w:cs="Times New Roman"/>
          <w:color w:val="212121"/>
          <w:sz w:val="24"/>
          <w:szCs w:val="24"/>
          <w:shd w:val="clear" w:color="auto" w:fill="FFFFFF"/>
        </w:rPr>
        <w:t xml:space="preserve"> supports the interpretation that notice must be given to </w:t>
      </w:r>
      <w:r w:rsidR="00FF2C9E">
        <w:rPr>
          <w:rFonts w:ascii="Times New Roman" w:eastAsia="Times New Roman" w:hAnsi="Times New Roman" w:cs="Times New Roman"/>
          <w:color w:val="212121"/>
          <w:sz w:val="24"/>
          <w:szCs w:val="24"/>
          <w:u w:val="single"/>
          <w:shd w:val="clear" w:color="auto" w:fill="FFFFFF"/>
        </w:rPr>
        <w:t>all</w:t>
      </w:r>
      <w:r w:rsidR="00FF2C9E">
        <w:rPr>
          <w:rFonts w:ascii="Times New Roman" w:eastAsia="Times New Roman" w:hAnsi="Times New Roman" w:cs="Times New Roman"/>
          <w:color w:val="212121"/>
          <w:sz w:val="24"/>
          <w:szCs w:val="24"/>
          <w:shd w:val="clear" w:color="auto" w:fill="FFFFFF"/>
        </w:rPr>
        <w:t xml:space="preserve"> potentially affected employees, regardless of whether the employee is affected, whenever a personnel matter appears on a governing body’s </w:t>
      </w:r>
      <w:r w:rsidR="00FF2C9E">
        <w:rPr>
          <w:rFonts w:ascii="Times New Roman" w:eastAsia="Times New Roman" w:hAnsi="Times New Roman" w:cs="Times New Roman"/>
          <w:color w:val="212121"/>
          <w:sz w:val="24"/>
          <w:szCs w:val="24"/>
          <w:u w:val="single"/>
          <w:shd w:val="clear" w:color="auto" w:fill="FFFFFF"/>
        </w:rPr>
        <w:t>public</w:t>
      </w:r>
      <w:r w:rsidR="00FF2C9E">
        <w:rPr>
          <w:rFonts w:ascii="Times New Roman" w:eastAsia="Times New Roman" w:hAnsi="Times New Roman" w:cs="Times New Roman"/>
          <w:color w:val="212121"/>
          <w:sz w:val="24"/>
          <w:szCs w:val="24"/>
          <w:shd w:val="clear" w:color="auto" w:fill="FFFFFF"/>
        </w:rPr>
        <w:t xml:space="preserve"> meeting agenda.”</w:t>
      </w:r>
      <w:r w:rsidR="00FF2C9E">
        <w:rPr>
          <w:rStyle w:val="FootnoteReference"/>
          <w:rFonts w:eastAsia="Times New Roman" w:cs="Times New Roman"/>
          <w:color w:val="212121"/>
          <w:sz w:val="24"/>
          <w:szCs w:val="24"/>
          <w:shd w:val="clear" w:color="auto" w:fill="FFFFFF"/>
        </w:rPr>
        <w:footnoteReference w:id="40"/>
      </w:r>
      <w:r w:rsidR="00FF2C9E">
        <w:rPr>
          <w:rFonts w:ascii="Times New Roman" w:eastAsia="Times New Roman" w:hAnsi="Times New Roman" w:cs="Times New Roman"/>
          <w:color w:val="212121"/>
          <w:sz w:val="24"/>
          <w:szCs w:val="24"/>
          <w:shd w:val="clear" w:color="auto" w:fill="FFFFFF"/>
        </w:rPr>
        <w:t xml:space="preserve"> </w:t>
      </w:r>
      <w:r w:rsidR="005315C8">
        <w:rPr>
          <w:rFonts w:ascii="Times New Roman" w:eastAsia="Times New Roman" w:hAnsi="Times New Roman" w:cs="Times New Roman"/>
          <w:color w:val="212121"/>
          <w:sz w:val="24"/>
          <w:szCs w:val="24"/>
          <w:shd w:val="clear" w:color="auto" w:fill="FFFFFF"/>
        </w:rPr>
        <w:t>Further, t</w:t>
      </w:r>
      <w:r w:rsidR="008A59B0">
        <w:rPr>
          <w:rFonts w:ascii="Times New Roman" w:eastAsia="Times New Roman" w:hAnsi="Times New Roman" w:cs="Times New Roman"/>
          <w:color w:val="212121"/>
          <w:sz w:val="24"/>
          <w:szCs w:val="24"/>
          <w:shd w:val="clear" w:color="auto" w:fill="FFFFFF"/>
        </w:rPr>
        <w:t xml:space="preserve">he Court specifically found that the Appellate Division’s extension of </w:t>
      </w:r>
      <w:r w:rsidR="008A59B0">
        <w:rPr>
          <w:rFonts w:ascii="Times New Roman" w:eastAsia="Times New Roman" w:hAnsi="Times New Roman" w:cs="Times New Roman"/>
          <w:i/>
          <w:color w:val="212121"/>
          <w:sz w:val="24"/>
          <w:szCs w:val="24"/>
          <w:shd w:val="clear" w:color="auto" w:fill="FFFFFF"/>
        </w:rPr>
        <w:t>Rice</w:t>
      </w:r>
      <w:r w:rsidR="008A59B0">
        <w:rPr>
          <w:rFonts w:ascii="Times New Roman" w:eastAsia="Times New Roman" w:hAnsi="Times New Roman" w:cs="Times New Roman"/>
          <w:color w:val="212121"/>
          <w:sz w:val="24"/>
          <w:szCs w:val="24"/>
          <w:shd w:val="clear" w:color="auto" w:fill="FFFFFF"/>
        </w:rPr>
        <w:t xml:space="preserve"> to all employment matters discussed by a public body whether in open or closed session, “… is not logical in light of the express language of N.J.S.A. 10:4-12(b)(8), and it intrudes upon the discretion recognized for [public bodies] in the legislative language.”</w:t>
      </w:r>
      <w:r w:rsidR="008A59B0">
        <w:rPr>
          <w:rStyle w:val="FootnoteReference"/>
          <w:rFonts w:eastAsia="Times New Roman" w:cs="Times New Roman"/>
          <w:color w:val="212121"/>
          <w:sz w:val="24"/>
          <w:szCs w:val="24"/>
          <w:shd w:val="clear" w:color="auto" w:fill="FFFFFF"/>
        </w:rPr>
        <w:footnoteReference w:id="41"/>
      </w:r>
      <w:r>
        <w:rPr>
          <w:rFonts w:ascii="Times New Roman" w:eastAsia="Times New Roman" w:hAnsi="Times New Roman" w:cs="Times New Roman"/>
          <w:color w:val="212121"/>
          <w:sz w:val="24"/>
          <w:szCs w:val="24"/>
          <w:shd w:val="clear" w:color="auto" w:fill="FFFFFF"/>
        </w:rPr>
        <w:t xml:space="preserve"> Simply put, </w:t>
      </w:r>
      <w:r w:rsidR="008A59B0">
        <w:rPr>
          <w:rFonts w:ascii="Times New Roman" w:eastAsia="Times New Roman" w:hAnsi="Times New Roman" w:cs="Times New Roman"/>
          <w:color w:val="212121"/>
          <w:sz w:val="24"/>
          <w:szCs w:val="24"/>
          <w:shd w:val="clear" w:color="auto" w:fill="FFFFFF"/>
        </w:rPr>
        <w:t>“[t]he personnel exception’s language is not applicable when a public entity already intends to take public action on a personnel matter</w:t>
      </w:r>
      <w:r w:rsidR="00823A82">
        <w:rPr>
          <w:rFonts w:ascii="Times New Roman" w:eastAsia="Times New Roman" w:hAnsi="Times New Roman" w:cs="Times New Roman"/>
          <w:color w:val="212121"/>
          <w:sz w:val="24"/>
          <w:szCs w:val="24"/>
          <w:shd w:val="clear" w:color="auto" w:fill="FFFFFF"/>
        </w:rPr>
        <w:t>…”</w:t>
      </w:r>
      <w:r w:rsidR="00823A82">
        <w:rPr>
          <w:rStyle w:val="FootnoteReference"/>
          <w:rFonts w:eastAsia="Times New Roman" w:cs="Times New Roman"/>
          <w:color w:val="212121"/>
          <w:sz w:val="24"/>
          <w:szCs w:val="24"/>
          <w:shd w:val="clear" w:color="auto" w:fill="FFFFFF"/>
        </w:rPr>
        <w:footnoteReference w:id="42"/>
      </w:r>
      <w:r w:rsidR="00A41A8F">
        <w:rPr>
          <w:rFonts w:ascii="Times New Roman" w:eastAsia="Times New Roman" w:hAnsi="Times New Roman" w:cs="Times New Roman"/>
          <w:color w:val="212121"/>
          <w:sz w:val="24"/>
          <w:szCs w:val="24"/>
          <w:shd w:val="clear" w:color="auto" w:fill="FFFFFF"/>
        </w:rPr>
        <w:t xml:space="preserve"> </w:t>
      </w:r>
      <w:r w:rsidR="000F2CB2">
        <w:rPr>
          <w:rFonts w:ascii="Times New Roman" w:eastAsia="Times New Roman" w:hAnsi="Times New Roman" w:cs="Times New Roman"/>
          <w:color w:val="212121"/>
          <w:sz w:val="24"/>
          <w:szCs w:val="24"/>
          <w:shd w:val="clear" w:color="auto" w:fill="FFFFFF"/>
        </w:rPr>
        <w:t xml:space="preserve">In the instant case, the discussions concerning plaintiff’s employment occurred during the public portion of the Board meeting thereby obviating the need for a </w:t>
      </w:r>
      <w:r w:rsidR="000F2CB2">
        <w:rPr>
          <w:rFonts w:ascii="Times New Roman" w:eastAsia="Times New Roman" w:hAnsi="Times New Roman" w:cs="Times New Roman"/>
          <w:i/>
          <w:color w:val="212121"/>
          <w:sz w:val="24"/>
          <w:szCs w:val="24"/>
          <w:shd w:val="clear" w:color="auto" w:fill="FFFFFF"/>
        </w:rPr>
        <w:t xml:space="preserve">Rice </w:t>
      </w:r>
      <w:r w:rsidR="000F2CB2">
        <w:rPr>
          <w:rFonts w:ascii="Times New Roman" w:eastAsia="Times New Roman" w:hAnsi="Times New Roman" w:cs="Times New Roman"/>
          <w:color w:val="212121"/>
          <w:sz w:val="24"/>
          <w:szCs w:val="24"/>
          <w:shd w:val="clear" w:color="auto" w:fill="FFFFFF"/>
        </w:rPr>
        <w:t>notice.</w:t>
      </w:r>
    </w:p>
    <w:p w:rsidR="005B2456" w:rsidRPr="000F2CB2" w:rsidRDefault="005B2456"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014CEC" w:rsidRDefault="000F2CB2"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Accordingly, t</w:t>
      </w:r>
      <w:r w:rsidR="00830F01">
        <w:rPr>
          <w:rFonts w:ascii="Times New Roman" w:eastAsia="Times New Roman" w:hAnsi="Times New Roman" w:cs="Times New Roman"/>
          <w:color w:val="212121"/>
          <w:sz w:val="24"/>
          <w:szCs w:val="24"/>
          <w:shd w:val="clear" w:color="auto" w:fill="FFFFFF"/>
        </w:rPr>
        <w:t xml:space="preserve">he Supreme Court reversed the decision of the Appellate Division regarding </w:t>
      </w:r>
      <w:r>
        <w:rPr>
          <w:rFonts w:ascii="Times New Roman" w:eastAsia="Times New Roman" w:hAnsi="Times New Roman" w:cs="Times New Roman"/>
          <w:color w:val="212121"/>
          <w:sz w:val="24"/>
          <w:szCs w:val="24"/>
          <w:shd w:val="clear" w:color="auto" w:fill="FFFFFF"/>
        </w:rPr>
        <w:t xml:space="preserve">both the issuance of </w:t>
      </w:r>
      <w:r w:rsidR="00830F01">
        <w:rPr>
          <w:rFonts w:ascii="Times New Roman" w:eastAsia="Times New Roman" w:hAnsi="Times New Roman" w:cs="Times New Roman"/>
          <w:i/>
          <w:color w:val="212121"/>
          <w:sz w:val="24"/>
          <w:szCs w:val="24"/>
          <w:shd w:val="clear" w:color="auto" w:fill="FFFFFF"/>
        </w:rPr>
        <w:t xml:space="preserve">Rice </w:t>
      </w:r>
      <w:r w:rsidR="00830F01" w:rsidRPr="00305820">
        <w:rPr>
          <w:rFonts w:ascii="Times New Roman" w:eastAsia="Times New Roman" w:hAnsi="Times New Roman" w:cs="Times New Roman"/>
          <w:color w:val="212121"/>
          <w:sz w:val="24"/>
          <w:szCs w:val="24"/>
          <w:shd w:val="clear" w:color="auto" w:fill="FFFFFF"/>
        </w:rPr>
        <w:t>notices</w:t>
      </w:r>
      <w:r w:rsidR="00830F01">
        <w:rPr>
          <w:rFonts w:ascii="Times New Roman" w:eastAsia="Times New Roman" w:hAnsi="Times New Roman" w:cs="Times New Roman"/>
          <w:color w:val="212121"/>
          <w:sz w:val="24"/>
          <w:szCs w:val="24"/>
          <w:shd w:val="clear" w:color="auto" w:fill="FFFFFF"/>
        </w:rPr>
        <w:t xml:space="preserve"> and </w:t>
      </w:r>
      <w:r>
        <w:rPr>
          <w:rFonts w:ascii="Times New Roman" w:eastAsia="Times New Roman" w:hAnsi="Times New Roman" w:cs="Times New Roman"/>
          <w:color w:val="212121"/>
          <w:sz w:val="24"/>
          <w:szCs w:val="24"/>
          <w:shd w:val="clear" w:color="auto" w:fill="FFFFFF"/>
        </w:rPr>
        <w:t>the voiding of the personnel actions taken by the Board.</w:t>
      </w:r>
      <w:r w:rsidR="00305820">
        <w:rPr>
          <w:rStyle w:val="FootnoteReference"/>
          <w:rFonts w:eastAsia="Times New Roman" w:cs="Times New Roman"/>
          <w:color w:val="212121"/>
          <w:sz w:val="24"/>
          <w:szCs w:val="24"/>
          <w:shd w:val="clear" w:color="auto" w:fill="FFFFFF"/>
        </w:rPr>
        <w:footnoteReference w:id="43"/>
      </w:r>
      <w:r w:rsidR="00305820">
        <w:rPr>
          <w:rFonts w:ascii="Times New Roman" w:eastAsia="Times New Roman" w:hAnsi="Times New Roman" w:cs="Times New Roman"/>
          <w:color w:val="212121"/>
          <w:sz w:val="24"/>
          <w:szCs w:val="24"/>
          <w:shd w:val="clear" w:color="auto" w:fill="FFFFFF"/>
        </w:rPr>
        <w:t xml:space="preserve"> </w:t>
      </w:r>
    </w:p>
    <w:p w:rsidR="00014CEC" w:rsidRDefault="00014CEC"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966D5A" w:rsidRPr="008A59B0" w:rsidRDefault="00A41A8F"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The Court then turned </w:t>
      </w:r>
      <w:r w:rsidR="00790ED9">
        <w:rPr>
          <w:rFonts w:ascii="Times New Roman" w:eastAsia="Times New Roman" w:hAnsi="Times New Roman" w:cs="Times New Roman"/>
          <w:color w:val="212121"/>
          <w:sz w:val="24"/>
          <w:szCs w:val="24"/>
          <w:shd w:val="clear" w:color="auto" w:fill="FFFFFF"/>
        </w:rPr>
        <w:t xml:space="preserve">its attention </w:t>
      </w:r>
      <w:r>
        <w:rPr>
          <w:rFonts w:ascii="Times New Roman" w:eastAsia="Times New Roman" w:hAnsi="Times New Roman" w:cs="Times New Roman"/>
          <w:color w:val="212121"/>
          <w:sz w:val="24"/>
          <w:szCs w:val="24"/>
          <w:shd w:val="clear" w:color="auto" w:fill="FFFFFF"/>
        </w:rPr>
        <w:t>to a public entities</w:t>
      </w:r>
      <w:r w:rsidR="003D30A5">
        <w:rPr>
          <w:rFonts w:ascii="Times New Roman" w:eastAsia="Times New Roman" w:hAnsi="Times New Roman" w:cs="Times New Roman"/>
          <w:color w:val="212121"/>
          <w:sz w:val="24"/>
          <w:szCs w:val="24"/>
          <w:shd w:val="clear" w:color="auto" w:fill="FFFFFF"/>
        </w:rPr>
        <w:t xml:space="preserve">’ responsibility to make </w:t>
      </w:r>
      <w:r>
        <w:rPr>
          <w:rFonts w:ascii="Times New Roman" w:eastAsia="Times New Roman" w:hAnsi="Times New Roman" w:cs="Times New Roman"/>
          <w:color w:val="212121"/>
          <w:sz w:val="24"/>
          <w:szCs w:val="24"/>
          <w:shd w:val="clear" w:color="auto" w:fill="FFFFFF"/>
        </w:rPr>
        <w:t>meeting minutes</w:t>
      </w:r>
      <w:r w:rsidR="003D30A5">
        <w:rPr>
          <w:rFonts w:ascii="Times New Roman" w:eastAsia="Times New Roman" w:hAnsi="Times New Roman" w:cs="Times New Roman"/>
          <w:color w:val="212121"/>
          <w:sz w:val="24"/>
          <w:szCs w:val="24"/>
          <w:shd w:val="clear" w:color="auto" w:fill="FFFFFF"/>
        </w:rPr>
        <w:t xml:space="preserve"> “promptly available” to the public</w:t>
      </w:r>
      <w:r>
        <w:rPr>
          <w:rFonts w:ascii="Times New Roman" w:eastAsia="Times New Roman" w:hAnsi="Times New Roman" w:cs="Times New Roman"/>
          <w:color w:val="212121"/>
          <w:sz w:val="24"/>
          <w:szCs w:val="24"/>
          <w:shd w:val="clear" w:color="auto" w:fill="FFFFFF"/>
        </w:rPr>
        <w:t xml:space="preserve">. </w:t>
      </w:r>
    </w:p>
    <w:p w:rsidR="00966D5A" w:rsidRDefault="00966D5A"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966D5A" w:rsidRDefault="00223FCA"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i/>
          <w:color w:val="212121"/>
          <w:sz w:val="24"/>
          <w:szCs w:val="24"/>
          <w:shd w:val="clear" w:color="auto" w:fill="FFFFFF"/>
        </w:rPr>
        <w:t>• Public Minutes</w:t>
      </w:r>
    </w:p>
    <w:p w:rsidR="00966D5A" w:rsidRDefault="00966D5A"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4C0C64" w:rsidRDefault="004C0C64"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The minutes of public meetings and their availability to the public is addressed in the OPMA.</w:t>
      </w:r>
      <w:r>
        <w:rPr>
          <w:rStyle w:val="FootnoteReference"/>
          <w:rFonts w:eastAsia="Times New Roman" w:cs="Times New Roman"/>
          <w:color w:val="212121"/>
          <w:sz w:val="24"/>
          <w:szCs w:val="24"/>
          <w:shd w:val="clear" w:color="auto" w:fill="FFFFFF"/>
        </w:rPr>
        <w:footnoteReference w:id="44"/>
      </w:r>
      <w:r>
        <w:rPr>
          <w:rFonts w:ascii="Times New Roman" w:eastAsia="Times New Roman" w:hAnsi="Times New Roman" w:cs="Times New Roman"/>
          <w:color w:val="212121"/>
          <w:sz w:val="24"/>
          <w:szCs w:val="24"/>
          <w:shd w:val="clear" w:color="auto" w:fill="FFFFFF"/>
        </w:rPr>
        <w:t xml:space="preserve"> The statute</w:t>
      </w:r>
      <w:r w:rsidR="00406E30">
        <w:rPr>
          <w:rFonts w:ascii="Times New Roman" w:eastAsia="Times New Roman" w:hAnsi="Times New Roman" w:cs="Times New Roman"/>
          <w:color w:val="212121"/>
          <w:sz w:val="24"/>
          <w:szCs w:val="24"/>
          <w:shd w:val="clear" w:color="auto" w:fill="FFFFFF"/>
        </w:rPr>
        <w:t>, N.J.S. 10:4-14,</w:t>
      </w:r>
      <w:r>
        <w:rPr>
          <w:rFonts w:ascii="Times New Roman" w:eastAsia="Times New Roman" w:hAnsi="Times New Roman" w:cs="Times New Roman"/>
          <w:color w:val="212121"/>
          <w:sz w:val="24"/>
          <w:szCs w:val="24"/>
          <w:shd w:val="clear" w:color="auto" w:fill="FFFFFF"/>
        </w:rPr>
        <w:t xml:space="preserve"> provides:</w:t>
      </w:r>
    </w:p>
    <w:p w:rsidR="004C0C64" w:rsidRDefault="004C0C64" w:rsidP="008527A7">
      <w:pPr>
        <w:spacing w:line="276" w:lineRule="auto"/>
        <w:jc w:val="both"/>
        <w:rPr>
          <w:rFonts w:ascii="Times New Roman" w:eastAsia="Times New Roman" w:hAnsi="Times New Roman" w:cs="Times New Roman"/>
          <w:color w:val="212121"/>
          <w:sz w:val="24"/>
          <w:szCs w:val="24"/>
          <w:shd w:val="clear" w:color="auto" w:fill="FFFFFF"/>
        </w:rPr>
      </w:pPr>
    </w:p>
    <w:p w:rsidR="004C0C64" w:rsidRDefault="004C0C64" w:rsidP="008527A7">
      <w:pPr>
        <w:spacing w:line="276" w:lineRule="auto"/>
        <w:ind w:left="720" w:right="81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Each public body shall keep reasonably comprehensible minutes of all its meetings showing the time and place, the members present, the subjects considered, the actions taken, the vote of each member, and any other information required to be shown in the minutes by law, which shall be promptly available to the public….</w:t>
      </w:r>
    </w:p>
    <w:p w:rsidR="004C0C64" w:rsidRDefault="004C0C64"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B6022A" w:rsidRDefault="001F1B79" w:rsidP="008527A7">
      <w:pPr>
        <w:spacing w:line="276" w:lineRule="auto"/>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Currently, the Act does not define the term “promptly available.”</w:t>
      </w:r>
      <w:r>
        <w:rPr>
          <w:rStyle w:val="FootnoteReference"/>
          <w:rFonts w:eastAsia="Times New Roman" w:cs="Times New Roman"/>
          <w:color w:val="212121"/>
          <w:sz w:val="24"/>
          <w:szCs w:val="24"/>
          <w:shd w:val="clear" w:color="auto" w:fill="FFFFFF"/>
        </w:rPr>
        <w:footnoteReference w:id="45"/>
      </w:r>
      <w:r w:rsidR="00406E30">
        <w:rPr>
          <w:rFonts w:ascii="Times New Roman" w:eastAsia="Times New Roman" w:hAnsi="Times New Roman" w:cs="Times New Roman"/>
          <w:color w:val="212121"/>
          <w:sz w:val="24"/>
          <w:szCs w:val="24"/>
          <w:shd w:val="clear" w:color="auto" w:fill="FFFFFF"/>
        </w:rPr>
        <w:t xml:space="preserve"> Prior to </w:t>
      </w:r>
      <w:r w:rsidR="006429DA">
        <w:rPr>
          <w:rFonts w:ascii="Times New Roman" w:eastAsia="Times New Roman" w:hAnsi="Times New Roman" w:cs="Times New Roman"/>
          <w:i/>
          <w:color w:val="212121"/>
          <w:sz w:val="24"/>
          <w:szCs w:val="24"/>
          <w:shd w:val="clear" w:color="auto" w:fill="FFFFFF"/>
        </w:rPr>
        <w:t>Kean Federation</w:t>
      </w:r>
      <w:r w:rsidR="00406E30">
        <w:rPr>
          <w:rFonts w:ascii="Times New Roman" w:eastAsia="Times New Roman" w:hAnsi="Times New Roman" w:cs="Times New Roman"/>
          <w:color w:val="212121"/>
          <w:sz w:val="24"/>
          <w:szCs w:val="24"/>
          <w:shd w:val="clear" w:color="auto" w:fill="FFFFFF"/>
        </w:rPr>
        <w:t>, the Supreme Court ha</w:t>
      </w:r>
      <w:r w:rsidR="00305820">
        <w:rPr>
          <w:rFonts w:ascii="Times New Roman" w:eastAsia="Times New Roman" w:hAnsi="Times New Roman" w:cs="Times New Roman"/>
          <w:color w:val="212121"/>
          <w:sz w:val="24"/>
          <w:szCs w:val="24"/>
          <w:shd w:val="clear" w:color="auto" w:fill="FFFFFF"/>
        </w:rPr>
        <w:t>d</w:t>
      </w:r>
      <w:r w:rsidR="00406E30">
        <w:rPr>
          <w:rFonts w:ascii="Times New Roman" w:eastAsia="Times New Roman" w:hAnsi="Times New Roman" w:cs="Times New Roman"/>
          <w:color w:val="212121"/>
          <w:sz w:val="24"/>
          <w:szCs w:val="24"/>
          <w:shd w:val="clear" w:color="auto" w:fill="FFFFFF"/>
        </w:rPr>
        <w:t xml:space="preserve"> not specifically addressed the meaning of this term.</w:t>
      </w:r>
      <w:r w:rsidR="00406E30">
        <w:rPr>
          <w:rStyle w:val="FootnoteReference"/>
          <w:rFonts w:eastAsia="Times New Roman" w:cs="Times New Roman"/>
          <w:color w:val="212121"/>
          <w:sz w:val="24"/>
          <w:szCs w:val="24"/>
          <w:shd w:val="clear" w:color="auto" w:fill="FFFFFF"/>
        </w:rPr>
        <w:footnoteReference w:id="46"/>
      </w:r>
      <w:r w:rsidR="00C90DB8">
        <w:rPr>
          <w:rFonts w:ascii="Times New Roman" w:eastAsia="Times New Roman" w:hAnsi="Times New Roman" w:cs="Times New Roman"/>
          <w:color w:val="212121"/>
          <w:sz w:val="24"/>
          <w:szCs w:val="24"/>
          <w:shd w:val="clear" w:color="auto" w:fill="FFFFFF"/>
        </w:rPr>
        <w:t xml:space="preserve"> The legislative history </w:t>
      </w:r>
      <w:r w:rsidR="00014CEC">
        <w:rPr>
          <w:rFonts w:ascii="Times New Roman" w:eastAsia="Times New Roman" w:hAnsi="Times New Roman" w:cs="Times New Roman"/>
          <w:color w:val="212121"/>
          <w:sz w:val="24"/>
          <w:szCs w:val="24"/>
          <w:shd w:val="clear" w:color="auto" w:fill="FFFFFF"/>
        </w:rPr>
        <w:t>concerning</w:t>
      </w:r>
      <w:r w:rsidR="009A47A2">
        <w:rPr>
          <w:rFonts w:ascii="Times New Roman" w:eastAsia="Times New Roman" w:hAnsi="Times New Roman" w:cs="Times New Roman"/>
          <w:color w:val="212121"/>
          <w:sz w:val="24"/>
          <w:szCs w:val="24"/>
          <w:shd w:val="clear" w:color="auto" w:fill="FFFFFF"/>
        </w:rPr>
        <w:t xml:space="preserve"> the meaning of th</w:t>
      </w:r>
      <w:r w:rsidR="00014CEC">
        <w:rPr>
          <w:rFonts w:ascii="Times New Roman" w:eastAsia="Times New Roman" w:hAnsi="Times New Roman" w:cs="Times New Roman"/>
          <w:color w:val="212121"/>
          <w:sz w:val="24"/>
          <w:szCs w:val="24"/>
          <w:shd w:val="clear" w:color="auto" w:fill="FFFFFF"/>
        </w:rPr>
        <w:t>e</w:t>
      </w:r>
      <w:r w:rsidR="009A47A2">
        <w:rPr>
          <w:rFonts w:ascii="Times New Roman" w:eastAsia="Times New Roman" w:hAnsi="Times New Roman" w:cs="Times New Roman"/>
          <w:color w:val="212121"/>
          <w:sz w:val="24"/>
          <w:szCs w:val="24"/>
          <w:shd w:val="clear" w:color="auto" w:fill="FFFFFF"/>
        </w:rPr>
        <w:t xml:space="preserve"> phrase is scant.</w:t>
      </w:r>
      <w:r w:rsidR="009A47A2">
        <w:rPr>
          <w:rStyle w:val="FootnoteReference"/>
          <w:rFonts w:eastAsia="Times New Roman" w:cs="Times New Roman"/>
          <w:color w:val="212121"/>
          <w:sz w:val="24"/>
          <w:szCs w:val="24"/>
          <w:shd w:val="clear" w:color="auto" w:fill="FFFFFF"/>
        </w:rPr>
        <w:footnoteReference w:id="47"/>
      </w:r>
      <w:r w:rsidR="009A47A2">
        <w:rPr>
          <w:rFonts w:ascii="Times New Roman" w:eastAsia="Times New Roman" w:hAnsi="Times New Roman" w:cs="Times New Roman"/>
          <w:color w:val="212121"/>
          <w:sz w:val="24"/>
          <w:szCs w:val="24"/>
          <w:shd w:val="clear" w:color="auto" w:fill="FFFFFF"/>
        </w:rPr>
        <w:t xml:space="preserve"> </w:t>
      </w:r>
    </w:p>
    <w:p w:rsidR="005B2456" w:rsidRDefault="005B2456" w:rsidP="008527A7">
      <w:pPr>
        <w:spacing w:line="276" w:lineRule="auto"/>
        <w:jc w:val="both"/>
        <w:rPr>
          <w:rFonts w:ascii="Times New Roman" w:eastAsia="Times New Roman" w:hAnsi="Times New Roman" w:cs="Times New Roman"/>
          <w:color w:val="212121"/>
          <w:sz w:val="24"/>
          <w:szCs w:val="24"/>
          <w:shd w:val="clear" w:color="auto" w:fill="FFFFFF"/>
        </w:rPr>
      </w:pPr>
    </w:p>
    <w:p w:rsidR="009C3216" w:rsidRDefault="009A47A2"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In the absence of a significant legislative history on this topic, the Supreme Court elected to view the term’s application in context.</w:t>
      </w:r>
      <w:r>
        <w:rPr>
          <w:rStyle w:val="FootnoteReference"/>
          <w:rFonts w:eastAsia="Times New Roman" w:cs="Times New Roman"/>
          <w:color w:val="212121"/>
          <w:sz w:val="24"/>
          <w:szCs w:val="24"/>
          <w:shd w:val="clear" w:color="auto" w:fill="FFFFFF"/>
        </w:rPr>
        <w:footnoteReference w:id="48"/>
      </w:r>
      <w:r w:rsidR="00B6022A">
        <w:rPr>
          <w:rFonts w:ascii="Times New Roman" w:eastAsia="Times New Roman" w:hAnsi="Times New Roman" w:cs="Times New Roman"/>
          <w:color w:val="212121"/>
          <w:sz w:val="24"/>
          <w:szCs w:val="24"/>
          <w:shd w:val="clear" w:color="auto" w:fill="FFFFFF"/>
        </w:rPr>
        <w:t xml:space="preserve"> The Court observed that, “[t]he Legislature’s choice of the phrase implicitly requires individual assessments as specific facts unfold in matters….”</w:t>
      </w:r>
      <w:r w:rsidR="00B6022A">
        <w:rPr>
          <w:rStyle w:val="FootnoteReference"/>
          <w:rFonts w:eastAsia="Times New Roman" w:cs="Times New Roman"/>
          <w:color w:val="212121"/>
          <w:sz w:val="24"/>
          <w:szCs w:val="24"/>
          <w:shd w:val="clear" w:color="auto" w:fill="FFFFFF"/>
        </w:rPr>
        <w:footnoteReference w:id="49"/>
      </w:r>
      <w:r w:rsidR="00B6022A">
        <w:rPr>
          <w:rFonts w:ascii="Times New Roman" w:eastAsia="Times New Roman" w:hAnsi="Times New Roman" w:cs="Times New Roman"/>
          <w:color w:val="212121"/>
          <w:sz w:val="24"/>
          <w:szCs w:val="24"/>
          <w:shd w:val="clear" w:color="auto" w:fill="FFFFFF"/>
        </w:rPr>
        <w:t xml:space="preserve"> </w:t>
      </w:r>
      <w:r w:rsidR="009C3216">
        <w:rPr>
          <w:rFonts w:ascii="Times New Roman" w:eastAsia="Times New Roman" w:hAnsi="Times New Roman" w:cs="Times New Roman"/>
          <w:color w:val="212121"/>
          <w:sz w:val="24"/>
          <w:szCs w:val="24"/>
          <w:shd w:val="clear" w:color="auto" w:fill="FFFFFF"/>
        </w:rPr>
        <w:t xml:space="preserve">The parties in </w:t>
      </w:r>
      <w:r w:rsidR="009C3216">
        <w:rPr>
          <w:rFonts w:ascii="Times New Roman" w:eastAsia="Times New Roman" w:hAnsi="Times New Roman" w:cs="Times New Roman"/>
          <w:i/>
          <w:color w:val="212121"/>
          <w:sz w:val="24"/>
          <w:szCs w:val="24"/>
          <w:shd w:val="clear" w:color="auto" w:fill="FFFFFF"/>
        </w:rPr>
        <w:t>Kean Federation</w:t>
      </w:r>
      <w:r w:rsidR="009C3216">
        <w:rPr>
          <w:rFonts w:ascii="Times New Roman" w:eastAsia="Times New Roman" w:hAnsi="Times New Roman" w:cs="Times New Roman"/>
          <w:color w:val="212121"/>
          <w:sz w:val="24"/>
          <w:szCs w:val="24"/>
          <w:shd w:val="clear" w:color="auto" w:fill="FFFFFF"/>
        </w:rPr>
        <w:t xml:space="preserve">, and ultimately the Supreme Court, agreed with the Appellate Division’s fact-sensitive, </w:t>
      </w:r>
      <w:r w:rsidR="004F640C">
        <w:rPr>
          <w:rFonts w:ascii="Times New Roman" w:eastAsia="Times New Roman" w:hAnsi="Times New Roman" w:cs="Times New Roman"/>
          <w:color w:val="212121"/>
          <w:sz w:val="24"/>
          <w:szCs w:val="24"/>
          <w:shd w:val="clear" w:color="auto" w:fill="FFFFFF"/>
        </w:rPr>
        <w:t>“</w:t>
      </w:r>
      <w:r w:rsidR="009C3216">
        <w:rPr>
          <w:rFonts w:ascii="Times New Roman" w:eastAsia="Times New Roman" w:hAnsi="Times New Roman" w:cs="Times New Roman"/>
          <w:color w:val="212121"/>
          <w:sz w:val="24"/>
          <w:szCs w:val="24"/>
          <w:shd w:val="clear" w:color="auto" w:fill="FFFFFF"/>
        </w:rPr>
        <w:t>case-by-case</w:t>
      </w:r>
      <w:r w:rsidR="004F640C">
        <w:rPr>
          <w:rFonts w:ascii="Times New Roman" w:eastAsia="Times New Roman" w:hAnsi="Times New Roman" w:cs="Times New Roman"/>
          <w:color w:val="212121"/>
          <w:sz w:val="24"/>
          <w:szCs w:val="24"/>
          <w:shd w:val="clear" w:color="auto" w:fill="FFFFFF"/>
        </w:rPr>
        <w:t>”</w:t>
      </w:r>
      <w:r w:rsidR="009C3216">
        <w:rPr>
          <w:rFonts w:ascii="Times New Roman" w:eastAsia="Times New Roman" w:hAnsi="Times New Roman" w:cs="Times New Roman"/>
          <w:color w:val="212121"/>
          <w:sz w:val="24"/>
          <w:szCs w:val="24"/>
          <w:shd w:val="clear" w:color="auto" w:fill="FFFFFF"/>
        </w:rPr>
        <w:t xml:space="preserve"> approach to </w:t>
      </w:r>
      <w:r w:rsidR="0036457F">
        <w:rPr>
          <w:rFonts w:ascii="Times New Roman" w:eastAsia="Times New Roman" w:hAnsi="Times New Roman" w:cs="Times New Roman"/>
          <w:color w:val="212121"/>
          <w:sz w:val="24"/>
          <w:szCs w:val="24"/>
          <w:shd w:val="clear" w:color="auto" w:fill="FFFFFF"/>
        </w:rPr>
        <w:t>analyzing whether a public entity has made its</w:t>
      </w:r>
      <w:r w:rsidR="009C3216">
        <w:rPr>
          <w:rFonts w:ascii="Times New Roman" w:eastAsia="Times New Roman" w:hAnsi="Times New Roman" w:cs="Times New Roman"/>
          <w:color w:val="212121"/>
          <w:sz w:val="24"/>
          <w:szCs w:val="24"/>
          <w:shd w:val="clear" w:color="auto" w:fill="FFFFFF"/>
        </w:rPr>
        <w:t xml:space="preserve"> minutes promptly available to the public.</w:t>
      </w:r>
      <w:r w:rsidR="009C3216">
        <w:rPr>
          <w:rStyle w:val="FootnoteReference"/>
          <w:rFonts w:eastAsia="Times New Roman" w:cs="Times New Roman"/>
          <w:color w:val="212121"/>
          <w:sz w:val="24"/>
          <w:szCs w:val="24"/>
          <w:shd w:val="clear" w:color="auto" w:fill="FFFFFF"/>
        </w:rPr>
        <w:footnoteReference w:id="50"/>
      </w:r>
    </w:p>
    <w:p w:rsidR="005B2456" w:rsidRPr="009C3216" w:rsidRDefault="005B2456"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E05353" w:rsidRDefault="0036457F"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The Court reminded public entities that </w:t>
      </w:r>
      <w:r w:rsidR="00B6022A">
        <w:rPr>
          <w:rFonts w:ascii="Times New Roman" w:eastAsia="Times New Roman" w:hAnsi="Times New Roman" w:cs="Times New Roman"/>
          <w:color w:val="212121"/>
          <w:sz w:val="24"/>
          <w:szCs w:val="24"/>
          <w:shd w:val="clear" w:color="auto" w:fill="FFFFFF"/>
        </w:rPr>
        <w:t>there is a “legislative expectation that the release of minutes must be considered a priority, an obligation, and not a nuisance to be addressed when convenient.”</w:t>
      </w:r>
      <w:r w:rsidR="00B6022A">
        <w:rPr>
          <w:rStyle w:val="FootnoteReference"/>
          <w:rFonts w:eastAsia="Times New Roman" w:cs="Times New Roman"/>
          <w:color w:val="212121"/>
          <w:sz w:val="24"/>
          <w:szCs w:val="24"/>
          <w:shd w:val="clear" w:color="auto" w:fill="FFFFFF"/>
        </w:rPr>
        <w:footnoteReference w:id="51"/>
      </w:r>
      <w:r w:rsidR="00B6022A">
        <w:rPr>
          <w:rFonts w:ascii="Times New Roman" w:eastAsia="Times New Roman" w:hAnsi="Times New Roman" w:cs="Times New Roman"/>
          <w:color w:val="212121"/>
          <w:sz w:val="24"/>
          <w:szCs w:val="24"/>
          <w:shd w:val="clear" w:color="auto" w:fill="FFFFFF"/>
        </w:rPr>
        <w:t xml:space="preserve"> </w:t>
      </w:r>
      <w:r>
        <w:rPr>
          <w:rFonts w:ascii="Times New Roman" w:eastAsia="Times New Roman" w:hAnsi="Times New Roman" w:cs="Times New Roman"/>
          <w:color w:val="212121"/>
          <w:sz w:val="24"/>
          <w:szCs w:val="24"/>
          <w:shd w:val="clear" w:color="auto" w:fill="FFFFFF"/>
        </w:rPr>
        <w:t xml:space="preserve">In articulating the standard with which court were to review these matters, the Supreme Court opined that </w:t>
      </w:r>
      <w:r w:rsidR="000B7A01">
        <w:rPr>
          <w:rFonts w:ascii="Times New Roman" w:eastAsia="Times New Roman" w:hAnsi="Times New Roman" w:cs="Times New Roman"/>
          <w:color w:val="212121"/>
          <w:sz w:val="24"/>
          <w:szCs w:val="24"/>
          <w:shd w:val="clear" w:color="auto" w:fill="FFFFFF"/>
        </w:rPr>
        <w:t>“</w:t>
      </w:r>
      <w:r>
        <w:rPr>
          <w:rFonts w:ascii="Times New Roman" w:eastAsia="Times New Roman" w:hAnsi="Times New Roman" w:cs="Times New Roman"/>
          <w:color w:val="212121"/>
          <w:sz w:val="24"/>
          <w:szCs w:val="24"/>
          <w:shd w:val="clear" w:color="auto" w:fill="FFFFFF"/>
        </w:rPr>
        <w:t>r</w:t>
      </w:r>
      <w:r w:rsidR="000B7A01">
        <w:rPr>
          <w:rFonts w:ascii="Times New Roman" w:eastAsia="Times New Roman" w:hAnsi="Times New Roman" w:cs="Times New Roman"/>
          <w:color w:val="212121"/>
          <w:sz w:val="24"/>
          <w:szCs w:val="24"/>
          <w:shd w:val="clear" w:color="auto" w:fill="FFFFFF"/>
        </w:rPr>
        <w:t>easonableness must remain the touchstone when assessing the promptness of a public entity’s action in this area.”</w:t>
      </w:r>
      <w:r w:rsidR="000B7A01">
        <w:rPr>
          <w:rStyle w:val="FootnoteReference"/>
          <w:rFonts w:eastAsia="Times New Roman" w:cs="Times New Roman"/>
          <w:color w:val="212121"/>
          <w:sz w:val="24"/>
          <w:szCs w:val="24"/>
          <w:shd w:val="clear" w:color="auto" w:fill="FFFFFF"/>
        </w:rPr>
        <w:footnoteReference w:id="52"/>
      </w:r>
      <w:r w:rsidR="000B7A01">
        <w:rPr>
          <w:rFonts w:ascii="Times New Roman" w:eastAsia="Times New Roman" w:hAnsi="Times New Roman" w:cs="Times New Roman"/>
          <w:color w:val="212121"/>
          <w:sz w:val="24"/>
          <w:szCs w:val="24"/>
          <w:shd w:val="clear" w:color="auto" w:fill="FFFFFF"/>
        </w:rPr>
        <w:t xml:space="preserve"> Unlike the Appellate Division, the Supreme Court declined to </w:t>
      </w:r>
      <w:r w:rsidR="008F27F3">
        <w:rPr>
          <w:rFonts w:ascii="Times New Roman" w:eastAsia="Times New Roman" w:hAnsi="Times New Roman" w:cs="Times New Roman"/>
          <w:color w:val="212121"/>
          <w:sz w:val="24"/>
          <w:szCs w:val="24"/>
          <w:shd w:val="clear" w:color="auto" w:fill="FFFFFF"/>
        </w:rPr>
        <w:t>establish</w:t>
      </w:r>
      <w:r w:rsidR="000B7A01">
        <w:rPr>
          <w:rFonts w:ascii="Times New Roman" w:eastAsia="Times New Roman" w:hAnsi="Times New Roman" w:cs="Times New Roman"/>
          <w:color w:val="212121"/>
          <w:sz w:val="24"/>
          <w:szCs w:val="24"/>
          <w:shd w:val="clear" w:color="auto" w:fill="FFFFFF"/>
        </w:rPr>
        <w:t xml:space="preserve"> a specific timeframe for the calling of meetings</w:t>
      </w:r>
      <w:r>
        <w:rPr>
          <w:rFonts w:ascii="Times New Roman" w:eastAsia="Times New Roman" w:hAnsi="Times New Roman" w:cs="Times New Roman"/>
          <w:color w:val="212121"/>
          <w:sz w:val="24"/>
          <w:szCs w:val="24"/>
          <w:shd w:val="clear" w:color="auto" w:fill="FFFFFF"/>
        </w:rPr>
        <w:t>, and the production of minutes</w:t>
      </w:r>
      <w:r w:rsidR="000B7A01">
        <w:rPr>
          <w:rFonts w:ascii="Times New Roman" w:eastAsia="Times New Roman" w:hAnsi="Times New Roman" w:cs="Times New Roman"/>
          <w:color w:val="212121"/>
          <w:sz w:val="24"/>
          <w:szCs w:val="24"/>
          <w:shd w:val="clear" w:color="auto" w:fill="FFFFFF"/>
        </w:rPr>
        <w:t>.</w:t>
      </w:r>
      <w:r w:rsidR="000B7A01">
        <w:rPr>
          <w:rStyle w:val="FootnoteReference"/>
          <w:rFonts w:eastAsia="Times New Roman" w:cs="Times New Roman"/>
          <w:color w:val="212121"/>
          <w:sz w:val="24"/>
          <w:szCs w:val="24"/>
          <w:shd w:val="clear" w:color="auto" w:fill="FFFFFF"/>
        </w:rPr>
        <w:footnoteReference w:id="53"/>
      </w:r>
      <w:r w:rsidR="000B7A01">
        <w:rPr>
          <w:rFonts w:ascii="Times New Roman" w:eastAsia="Times New Roman" w:hAnsi="Times New Roman" w:cs="Times New Roman"/>
          <w:color w:val="212121"/>
          <w:sz w:val="24"/>
          <w:szCs w:val="24"/>
          <w:shd w:val="clear" w:color="auto" w:fill="FFFFFF"/>
        </w:rPr>
        <w:t xml:space="preserve"> The timing of meetings, the Supreme Court held, remains the prerogative of the body entrusted with running the public entity.</w:t>
      </w:r>
      <w:r w:rsidR="000B7A01">
        <w:rPr>
          <w:rStyle w:val="FootnoteReference"/>
          <w:rFonts w:eastAsia="Times New Roman" w:cs="Times New Roman"/>
          <w:color w:val="212121"/>
          <w:sz w:val="24"/>
          <w:szCs w:val="24"/>
          <w:shd w:val="clear" w:color="auto" w:fill="FFFFFF"/>
        </w:rPr>
        <w:footnoteReference w:id="54"/>
      </w:r>
      <w:r w:rsidR="000B7A01">
        <w:rPr>
          <w:rFonts w:ascii="Times New Roman" w:eastAsia="Times New Roman" w:hAnsi="Times New Roman" w:cs="Times New Roman"/>
          <w:color w:val="212121"/>
          <w:sz w:val="24"/>
          <w:szCs w:val="24"/>
          <w:shd w:val="clear" w:color="auto" w:fill="FFFFFF"/>
        </w:rPr>
        <w:t xml:space="preserve"> </w:t>
      </w:r>
    </w:p>
    <w:p w:rsidR="005B2456" w:rsidRDefault="005B2456"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FE2D5D" w:rsidRDefault="00376434" w:rsidP="008527A7">
      <w:pPr>
        <w:spacing w:line="276" w:lineRule="auto"/>
        <w:ind w:firstLine="720"/>
        <w:jc w:val="both"/>
        <w:rPr>
          <w:rFonts w:ascii="Times New Roman" w:eastAsia="Times New Roman" w:hAnsi="Times New Roman" w:cs="Times New Roman"/>
          <w:i/>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In reversing </w:t>
      </w:r>
      <w:r w:rsidR="008F27F3">
        <w:rPr>
          <w:rFonts w:ascii="Times New Roman" w:eastAsia="Times New Roman" w:hAnsi="Times New Roman" w:cs="Times New Roman"/>
          <w:color w:val="212121"/>
          <w:sz w:val="24"/>
          <w:szCs w:val="24"/>
          <w:shd w:val="clear" w:color="auto" w:fill="FFFFFF"/>
        </w:rPr>
        <w:t>this aspect of the</w:t>
      </w:r>
      <w:r>
        <w:rPr>
          <w:rFonts w:ascii="Times New Roman" w:eastAsia="Times New Roman" w:hAnsi="Times New Roman" w:cs="Times New Roman"/>
          <w:color w:val="212121"/>
          <w:sz w:val="24"/>
          <w:szCs w:val="24"/>
          <w:shd w:val="clear" w:color="auto" w:fill="FFFFFF"/>
        </w:rPr>
        <w:t xml:space="preserve"> decision of the Appellate Division, the Supreme Court cautioned </w:t>
      </w:r>
      <w:r w:rsidR="00116DB7">
        <w:rPr>
          <w:rFonts w:ascii="Times New Roman" w:eastAsia="Times New Roman" w:hAnsi="Times New Roman" w:cs="Times New Roman"/>
          <w:color w:val="212121"/>
          <w:sz w:val="24"/>
          <w:szCs w:val="24"/>
          <w:shd w:val="clear" w:color="auto" w:fill="FFFFFF"/>
        </w:rPr>
        <w:t>public bodies that</w:t>
      </w:r>
      <w:r w:rsidR="00D65F2F">
        <w:rPr>
          <w:rFonts w:ascii="Times New Roman" w:eastAsia="Times New Roman" w:hAnsi="Times New Roman" w:cs="Times New Roman"/>
          <w:color w:val="212121"/>
          <w:sz w:val="24"/>
          <w:szCs w:val="24"/>
          <w:shd w:val="clear" w:color="auto" w:fill="FFFFFF"/>
        </w:rPr>
        <w:t>,</w:t>
      </w:r>
      <w:r w:rsidR="00116DB7">
        <w:rPr>
          <w:rFonts w:ascii="Times New Roman" w:eastAsia="Times New Roman" w:hAnsi="Times New Roman" w:cs="Times New Roman"/>
          <w:color w:val="212121"/>
          <w:sz w:val="24"/>
          <w:szCs w:val="24"/>
          <w:shd w:val="clear" w:color="auto" w:fill="FFFFFF"/>
        </w:rPr>
        <w:t xml:space="preserve"> </w:t>
      </w:r>
      <w:r>
        <w:rPr>
          <w:rFonts w:ascii="Times New Roman" w:eastAsia="Times New Roman" w:hAnsi="Times New Roman" w:cs="Times New Roman"/>
          <w:color w:val="212121"/>
          <w:sz w:val="24"/>
          <w:szCs w:val="24"/>
          <w:shd w:val="clear" w:color="auto" w:fill="FFFFFF"/>
        </w:rPr>
        <w:t>“minutes should be released within days of their approval, unless truly extraordinary circumstances prevent their availability to the public.”</w:t>
      </w:r>
      <w:r w:rsidR="00847CB3">
        <w:rPr>
          <w:rFonts w:ascii="Times New Roman" w:eastAsia="Times New Roman" w:hAnsi="Times New Roman" w:cs="Times New Roman"/>
          <w:color w:val="212121"/>
          <w:sz w:val="24"/>
          <w:szCs w:val="24"/>
          <w:shd w:val="clear" w:color="auto" w:fill="FFFFFF"/>
        </w:rPr>
        <w:t xml:space="preserve"> </w:t>
      </w:r>
    </w:p>
    <w:p w:rsidR="005B2456" w:rsidRDefault="005B2456" w:rsidP="008527A7">
      <w:pPr>
        <w:spacing w:line="276" w:lineRule="auto"/>
        <w:ind w:firstLine="720"/>
        <w:jc w:val="both"/>
        <w:rPr>
          <w:rFonts w:ascii="Times New Roman" w:eastAsia="Times New Roman" w:hAnsi="Times New Roman" w:cs="Times New Roman"/>
          <w:i/>
          <w:color w:val="212121"/>
          <w:sz w:val="24"/>
          <w:szCs w:val="24"/>
          <w:shd w:val="clear" w:color="auto" w:fill="FFFFFF"/>
        </w:rPr>
      </w:pPr>
    </w:p>
    <w:p w:rsidR="00223FCA" w:rsidRPr="002E6632" w:rsidRDefault="00223FCA" w:rsidP="008527A7">
      <w:pPr>
        <w:spacing w:line="276" w:lineRule="auto"/>
        <w:jc w:val="center"/>
        <w:rPr>
          <w:rFonts w:ascii="Times New Roman" w:eastAsia="Times New Roman" w:hAnsi="Times New Roman" w:cs="Times New Roman"/>
          <w:b/>
          <w:color w:val="212121"/>
          <w:sz w:val="24"/>
          <w:szCs w:val="24"/>
          <w:shd w:val="clear" w:color="auto" w:fill="FFFFFF"/>
        </w:rPr>
      </w:pPr>
      <w:r w:rsidRPr="002E6632">
        <w:rPr>
          <w:rFonts w:ascii="Times New Roman" w:eastAsia="Times New Roman" w:hAnsi="Times New Roman" w:cs="Times New Roman"/>
          <w:b/>
          <w:color w:val="212121"/>
          <w:sz w:val="24"/>
          <w:szCs w:val="24"/>
          <w:shd w:val="clear" w:color="auto" w:fill="FFFFFF"/>
        </w:rPr>
        <w:t>Pending Legislation</w:t>
      </w:r>
    </w:p>
    <w:p w:rsidR="00223FCA" w:rsidRDefault="00223FCA"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235004" w:rsidRDefault="00CD771F"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Since</w:t>
      </w:r>
      <w:r w:rsidR="00901550">
        <w:rPr>
          <w:rFonts w:ascii="Times New Roman" w:eastAsia="Times New Roman" w:hAnsi="Times New Roman" w:cs="Times New Roman"/>
          <w:color w:val="212121"/>
          <w:sz w:val="24"/>
          <w:szCs w:val="24"/>
          <w:shd w:val="clear" w:color="auto" w:fill="FFFFFF"/>
        </w:rPr>
        <w:t xml:space="preserve"> 201</w:t>
      </w:r>
      <w:r w:rsidR="009A1B23">
        <w:rPr>
          <w:rFonts w:ascii="Times New Roman" w:eastAsia="Times New Roman" w:hAnsi="Times New Roman" w:cs="Times New Roman"/>
          <w:color w:val="212121"/>
          <w:sz w:val="24"/>
          <w:szCs w:val="24"/>
          <w:shd w:val="clear" w:color="auto" w:fill="FFFFFF"/>
        </w:rPr>
        <w:t>6</w:t>
      </w:r>
      <w:r w:rsidR="00901550">
        <w:rPr>
          <w:rFonts w:ascii="Times New Roman" w:eastAsia="Times New Roman" w:hAnsi="Times New Roman" w:cs="Times New Roman"/>
          <w:color w:val="212121"/>
          <w:sz w:val="24"/>
          <w:szCs w:val="24"/>
          <w:shd w:val="clear" w:color="auto" w:fill="FFFFFF"/>
        </w:rPr>
        <w:t xml:space="preserve">, both the Senate and the Assembly </w:t>
      </w:r>
      <w:r w:rsidR="008F27F3">
        <w:rPr>
          <w:rFonts w:ascii="Times New Roman" w:eastAsia="Times New Roman" w:hAnsi="Times New Roman" w:cs="Times New Roman"/>
          <w:color w:val="212121"/>
          <w:sz w:val="24"/>
          <w:szCs w:val="24"/>
          <w:shd w:val="clear" w:color="auto" w:fill="FFFFFF"/>
        </w:rPr>
        <w:t xml:space="preserve">have </w:t>
      </w:r>
      <w:r w:rsidR="00901550">
        <w:rPr>
          <w:rFonts w:ascii="Times New Roman" w:eastAsia="Times New Roman" w:hAnsi="Times New Roman" w:cs="Times New Roman"/>
          <w:color w:val="212121"/>
          <w:sz w:val="24"/>
          <w:szCs w:val="24"/>
          <w:shd w:val="clear" w:color="auto" w:fill="FFFFFF"/>
        </w:rPr>
        <w:t>introduce</w:t>
      </w:r>
      <w:r w:rsidR="00E8017C">
        <w:rPr>
          <w:rFonts w:ascii="Times New Roman" w:eastAsia="Times New Roman" w:hAnsi="Times New Roman" w:cs="Times New Roman"/>
          <w:color w:val="212121"/>
          <w:sz w:val="24"/>
          <w:szCs w:val="24"/>
          <w:shd w:val="clear" w:color="auto" w:fill="FFFFFF"/>
        </w:rPr>
        <w:t>d</w:t>
      </w:r>
      <w:r w:rsidR="00901550">
        <w:rPr>
          <w:rFonts w:ascii="Times New Roman" w:eastAsia="Times New Roman" w:hAnsi="Times New Roman" w:cs="Times New Roman"/>
          <w:color w:val="212121"/>
          <w:sz w:val="24"/>
          <w:szCs w:val="24"/>
          <w:shd w:val="clear" w:color="auto" w:fill="FFFFFF"/>
        </w:rPr>
        <w:t xml:space="preserve"> legislation </w:t>
      </w:r>
      <w:r w:rsidR="00E8017C">
        <w:rPr>
          <w:rFonts w:ascii="Times New Roman" w:eastAsia="Times New Roman" w:hAnsi="Times New Roman" w:cs="Times New Roman"/>
          <w:color w:val="212121"/>
          <w:sz w:val="24"/>
          <w:szCs w:val="24"/>
          <w:shd w:val="clear" w:color="auto" w:fill="FFFFFF"/>
        </w:rPr>
        <w:t xml:space="preserve">to </w:t>
      </w:r>
      <w:r w:rsidR="00901550">
        <w:rPr>
          <w:rFonts w:ascii="Times New Roman" w:eastAsia="Times New Roman" w:hAnsi="Times New Roman" w:cs="Times New Roman"/>
          <w:color w:val="212121"/>
          <w:sz w:val="24"/>
          <w:szCs w:val="24"/>
          <w:shd w:val="clear" w:color="auto" w:fill="FFFFFF"/>
        </w:rPr>
        <w:t xml:space="preserve">modify the </w:t>
      </w:r>
      <w:r w:rsidR="008F27F3">
        <w:rPr>
          <w:rFonts w:ascii="Times New Roman" w:eastAsia="Times New Roman" w:hAnsi="Times New Roman" w:cs="Times New Roman"/>
          <w:color w:val="212121"/>
          <w:sz w:val="24"/>
          <w:szCs w:val="24"/>
          <w:shd w:val="clear" w:color="auto" w:fill="FFFFFF"/>
        </w:rPr>
        <w:t>OPMA</w:t>
      </w:r>
      <w:r w:rsidR="00901550">
        <w:rPr>
          <w:rFonts w:ascii="Times New Roman" w:eastAsia="Times New Roman" w:hAnsi="Times New Roman" w:cs="Times New Roman"/>
          <w:i/>
          <w:color w:val="212121"/>
          <w:sz w:val="24"/>
          <w:szCs w:val="24"/>
          <w:shd w:val="clear" w:color="auto" w:fill="FFFFFF"/>
        </w:rPr>
        <w:t>.</w:t>
      </w:r>
      <w:r w:rsidR="00694FC9" w:rsidRPr="009A1B23">
        <w:rPr>
          <w:rStyle w:val="FootnoteReference"/>
          <w:rFonts w:eastAsia="Times New Roman" w:cs="Times New Roman"/>
          <w:color w:val="212121"/>
          <w:sz w:val="24"/>
          <w:szCs w:val="24"/>
          <w:shd w:val="clear" w:color="auto" w:fill="FFFFFF"/>
        </w:rPr>
        <w:footnoteReference w:id="55"/>
      </w:r>
      <w:r w:rsidR="009A1B23">
        <w:rPr>
          <w:rFonts w:ascii="Times New Roman" w:eastAsia="Times New Roman" w:hAnsi="Times New Roman" w:cs="Times New Roman"/>
          <w:i/>
          <w:color w:val="212121"/>
          <w:sz w:val="24"/>
          <w:szCs w:val="24"/>
          <w:shd w:val="clear" w:color="auto" w:fill="FFFFFF"/>
        </w:rPr>
        <w:t xml:space="preserve"> </w:t>
      </w:r>
      <w:r w:rsidR="00016D46">
        <w:rPr>
          <w:rFonts w:ascii="Times New Roman" w:eastAsia="Times New Roman" w:hAnsi="Times New Roman" w:cs="Times New Roman"/>
          <w:color w:val="212121"/>
          <w:sz w:val="24"/>
          <w:szCs w:val="24"/>
          <w:shd w:val="clear" w:color="auto" w:fill="FFFFFF"/>
        </w:rPr>
        <w:t>T</w:t>
      </w:r>
      <w:r w:rsidR="00040343">
        <w:rPr>
          <w:rFonts w:ascii="Times New Roman" w:eastAsia="Times New Roman" w:hAnsi="Times New Roman" w:cs="Times New Roman"/>
          <w:color w:val="212121"/>
          <w:sz w:val="24"/>
          <w:szCs w:val="24"/>
          <w:shd w:val="clear" w:color="auto" w:fill="FFFFFF"/>
        </w:rPr>
        <w:t>he stated purpose of th</w:t>
      </w:r>
      <w:r w:rsidR="0036457F">
        <w:rPr>
          <w:rFonts w:ascii="Times New Roman" w:eastAsia="Times New Roman" w:hAnsi="Times New Roman" w:cs="Times New Roman"/>
          <w:color w:val="212121"/>
          <w:sz w:val="24"/>
          <w:szCs w:val="24"/>
          <w:shd w:val="clear" w:color="auto" w:fill="FFFFFF"/>
        </w:rPr>
        <w:t>ese</w:t>
      </w:r>
      <w:r w:rsidR="00040343">
        <w:rPr>
          <w:rFonts w:ascii="Times New Roman" w:eastAsia="Times New Roman" w:hAnsi="Times New Roman" w:cs="Times New Roman"/>
          <w:color w:val="212121"/>
          <w:sz w:val="24"/>
          <w:szCs w:val="24"/>
          <w:shd w:val="clear" w:color="auto" w:fill="FFFFFF"/>
        </w:rPr>
        <w:t xml:space="preserve"> bill</w:t>
      </w:r>
      <w:r w:rsidR="0036457F">
        <w:rPr>
          <w:rFonts w:ascii="Times New Roman" w:eastAsia="Times New Roman" w:hAnsi="Times New Roman" w:cs="Times New Roman"/>
          <w:color w:val="212121"/>
          <w:sz w:val="24"/>
          <w:szCs w:val="24"/>
          <w:shd w:val="clear" w:color="auto" w:fill="FFFFFF"/>
        </w:rPr>
        <w:t>s</w:t>
      </w:r>
      <w:r w:rsidR="00040343">
        <w:rPr>
          <w:rFonts w:ascii="Times New Roman" w:eastAsia="Times New Roman" w:hAnsi="Times New Roman" w:cs="Times New Roman"/>
          <w:color w:val="212121"/>
          <w:sz w:val="24"/>
          <w:szCs w:val="24"/>
          <w:shd w:val="clear" w:color="auto" w:fill="FFFFFF"/>
        </w:rPr>
        <w:t xml:space="preserve"> is </w:t>
      </w:r>
      <w:r w:rsidR="002E6632">
        <w:rPr>
          <w:rFonts w:ascii="Times New Roman" w:eastAsia="Times New Roman" w:hAnsi="Times New Roman" w:cs="Times New Roman"/>
          <w:color w:val="212121"/>
          <w:sz w:val="24"/>
          <w:szCs w:val="24"/>
          <w:shd w:val="clear" w:color="auto" w:fill="FFFFFF"/>
        </w:rPr>
        <w:t>to “</w:t>
      </w:r>
      <w:r w:rsidR="00040343">
        <w:rPr>
          <w:rFonts w:ascii="Times New Roman" w:eastAsia="Times New Roman" w:hAnsi="Times New Roman" w:cs="Times New Roman"/>
          <w:color w:val="212121"/>
          <w:sz w:val="24"/>
          <w:szCs w:val="24"/>
          <w:shd w:val="clear" w:color="auto" w:fill="FFFFFF"/>
        </w:rPr>
        <w:t>…</w:t>
      </w:r>
      <w:r w:rsidR="00324A9D">
        <w:rPr>
          <w:rFonts w:ascii="Times New Roman" w:eastAsia="Times New Roman" w:hAnsi="Times New Roman" w:cs="Times New Roman"/>
          <w:color w:val="212121"/>
          <w:sz w:val="24"/>
          <w:szCs w:val="24"/>
          <w:shd w:val="clear" w:color="auto" w:fill="FFFFFF"/>
        </w:rPr>
        <w:t>clarify</w:t>
      </w:r>
      <w:r w:rsidR="00040343">
        <w:rPr>
          <w:rFonts w:ascii="Times New Roman" w:eastAsia="Times New Roman" w:hAnsi="Times New Roman" w:cs="Times New Roman"/>
          <w:color w:val="212121"/>
          <w:sz w:val="24"/>
          <w:szCs w:val="24"/>
          <w:shd w:val="clear" w:color="auto" w:fill="FFFFFF"/>
        </w:rPr>
        <w:t xml:space="preserve"> and expand the public’s right to receive notice of meetings of public bodies, to be present at such meetings, as well as to have access to the minutes of meetings.</w:t>
      </w:r>
      <w:r w:rsidR="002E6632">
        <w:rPr>
          <w:rFonts w:ascii="Times New Roman" w:eastAsia="Times New Roman" w:hAnsi="Times New Roman" w:cs="Times New Roman"/>
          <w:color w:val="212121"/>
          <w:sz w:val="24"/>
          <w:szCs w:val="24"/>
          <w:shd w:val="clear" w:color="auto" w:fill="FFFFFF"/>
        </w:rPr>
        <w:t>”</w:t>
      </w:r>
      <w:r w:rsidR="008F27F3">
        <w:rPr>
          <w:rStyle w:val="FootnoteReference"/>
          <w:rFonts w:eastAsia="Times New Roman" w:cs="Times New Roman"/>
          <w:color w:val="212121"/>
          <w:sz w:val="24"/>
          <w:szCs w:val="24"/>
          <w:shd w:val="clear" w:color="auto" w:fill="FFFFFF"/>
        </w:rPr>
        <w:footnoteReference w:id="56"/>
      </w:r>
    </w:p>
    <w:p w:rsidR="005B2456" w:rsidRPr="00040343" w:rsidRDefault="005B2456"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C15A12" w:rsidRDefault="002E6632"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On June 14, 2018, one week before the Supreme Court issued its decision in </w:t>
      </w:r>
      <w:r>
        <w:rPr>
          <w:rFonts w:ascii="Times New Roman" w:eastAsia="Times New Roman" w:hAnsi="Times New Roman" w:cs="Times New Roman"/>
          <w:i/>
          <w:color w:val="212121"/>
          <w:sz w:val="24"/>
          <w:szCs w:val="24"/>
          <w:shd w:val="clear" w:color="auto" w:fill="FFFFFF"/>
        </w:rPr>
        <w:t>Kean Fe</w:t>
      </w:r>
      <w:r w:rsidR="00BF1CD1">
        <w:rPr>
          <w:rFonts w:ascii="Times New Roman" w:eastAsia="Times New Roman" w:hAnsi="Times New Roman" w:cs="Times New Roman"/>
          <w:i/>
          <w:color w:val="212121"/>
          <w:sz w:val="24"/>
          <w:szCs w:val="24"/>
          <w:shd w:val="clear" w:color="auto" w:fill="FFFFFF"/>
        </w:rPr>
        <w:t>deration</w:t>
      </w:r>
      <w:r>
        <w:rPr>
          <w:rFonts w:ascii="Times New Roman" w:eastAsia="Times New Roman" w:hAnsi="Times New Roman" w:cs="Times New Roman"/>
          <w:i/>
          <w:color w:val="212121"/>
          <w:sz w:val="24"/>
          <w:szCs w:val="24"/>
          <w:shd w:val="clear" w:color="auto" w:fill="FFFFFF"/>
        </w:rPr>
        <w:t>.</w:t>
      </w:r>
      <w:r>
        <w:rPr>
          <w:rFonts w:ascii="Times New Roman" w:eastAsia="Times New Roman" w:hAnsi="Times New Roman" w:cs="Times New Roman"/>
          <w:color w:val="212121"/>
          <w:sz w:val="24"/>
          <w:szCs w:val="24"/>
          <w:shd w:val="clear" w:color="auto" w:fill="FFFFFF"/>
        </w:rPr>
        <w:t xml:space="preserve">, </w:t>
      </w:r>
      <w:r w:rsidR="00235004">
        <w:rPr>
          <w:rFonts w:ascii="Times New Roman" w:eastAsia="Times New Roman" w:hAnsi="Times New Roman" w:cs="Times New Roman"/>
          <w:color w:val="212121"/>
          <w:sz w:val="24"/>
          <w:szCs w:val="24"/>
          <w:shd w:val="clear" w:color="auto" w:fill="FFFFFF"/>
        </w:rPr>
        <w:t xml:space="preserve">S106 </w:t>
      </w:r>
      <w:r>
        <w:rPr>
          <w:rFonts w:ascii="Times New Roman" w:eastAsia="Times New Roman" w:hAnsi="Times New Roman" w:cs="Times New Roman"/>
          <w:color w:val="212121"/>
          <w:sz w:val="24"/>
          <w:szCs w:val="24"/>
          <w:shd w:val="clear" w:color="auto" w:fill="FFFFFF"/>
        </w:rPr>
        <w:t>w</w:t>
      </w:r>
      <w:r w:rsidR="00235004">
        <w:rPr>
          <w:rFonts w:ascii="Times New Roman" w:eastAsia="Times New Roman" w:hAnsi="Times New Roman" w:cs="Times New Roman"/>
          <w:color w:val="212121"/>
          <w:sz w:val="24"/>
          <w:szCs w:val="24"/>
          <w:shd w:val="clear" w:color="auto" w:fill="FFFFFF"/>
        </w:rPr>
        <w:t xml:space="preserve">as amended by the Senate State Government, Wagering, </w:t>
      </w:r>
      <w:proofErr w:type="gramStart"/>
      <w:r w:rsidR="00235004">
        <w:rPr>
          <w:rFonts w:ascii="Times New Roman" w:eastAsia="Times New Roman" w:hAnsi="Times New Roman" w:cs="Times New Roman"/>
          <w:color w:val="212121"/>
          <w:sz w:val="24"/>
          <w:szCs w:val="24"/>
          <w:shd w:val="clear" w:color="auto" w:fill="FFFFFF"/>
        </w:rPr>
        <w:t>Tourism</w:t>
      </w:r>
      <w:proofErr w:type="gramEnd"/>
      <w:r w:rsidR="00235004">
        <w:rPr>
          <w:rFonts w:ascii="Times New Roman" w:eastAsia="Times New Roman" w:hAnsi="Times New Roman" w:cs="Times New Roman"/>
          <w:color w:val="212121"/>
          <w:sz w:val="24"/>
          <w:szCs w:val="24"/>
          <w:shd w:val="clear" w:color="auto" w:fill="FFFFFF"/>
        </w:rPr>
        <w:t xml:space="preserve"> &amp; Historic Preservation Committee.</w:t>
      </w:r>
      <w:r w:rsidR="00235004">
        <w:rPr>
          <w:rStyle w:val="FootnoteReference"/>
          <w:rFonts w:eastAsia="Times New Roman" w:cs="Times New Roman"/>
          <w:color w:val="212121"/>
          <w:sz w:val="24"/>
          <w:szCs w:val="24"/>
          <w:shd w:val="clear" w:color="auto" w:fill="FFFFFF"/>
        </w:rPr>
        <w:footnoteReference w:id="57"/>
      </w:r>
      <w:r w:rsidR="00040343">
        <w:rPr>
          <w:rFonts w:ascii="Times New Roman" w:eastAsia="Times New Roman" w:hAnsi="Times New Roman" w:cs="Times New Roman"/>
          <w:color w:val="212121"/>
          <w:sz w:val="24"/>
          <w:szCs w:val="24"/>
          <w:shd w:val="clear" w:color="auto" w:fill="FFFFFF"/>
        </w:rPr>
        <w:t xml:space="preserve"> </w:t>
      </w:r>
      <w:r w:rsidR="00BF1CD1">
        <w:rPr>
          <w:rFonts w:ascii="Times New Roman" w:eastAsia="Times New Roman" w:hAnsi="Times New Roman" w:cs="Times New Roman"/>
          <w:color w:val="212121"/>
          <w:sz w:val="24"/>
          <w:szCs w:val="24"/>
          <w:shd w:val="clear" w:color="auto" w:fill="FFFFFF"/>
        </w:rPr>
        <w:t xml:space="preserve">A number of </w:t>
      </w:r>
      <w:r w:rsidR="00324A9D">
        <w:rPr>
          <w:rFonts w:ascii="Times New Roman" w:eastAsia="Times New Roman" w:hAnsi="Times New Roman" w:cs="Times New Roman"/>
          <w:color w:val="212121"/>
          <w:sz w:val="24"/>
          <w:szCs w:val="24"/>
          <w:shd w:val="clear" w:color="auto" w:fill="FFFFFF"/>
        </w:rPr>
        <w:t xml:space="preserve">the legislative modifications </w:t>
      </w:r>
      <w:r w:rsidR="008F27F3">
        <w:rPr>
          <w:rFonts w:ascii="Times New Roman" w:eastAsia="Times New Roman" w:hAnsi="Times New Roman" w:cs="Times New Roman"/>
          <w:color w:val="212121"/>
          <w:sz w:val="24"/>
          <w:szCs w:val="24"/>
          <w:shd w:val="clear" w:color="auto" w:fill="FFFFFF"/>
        </w:rPr>
        <w:t xml:space="preserve">contained in that bill </w:t>
      </w:r>
      <w:r w:rsidR="004E415A">
        <w:rPr>
          <w:rFonts w:ascii="Times New Roman" w:eastAsia="Times New Roman" w:hAnsi="Times New Roman" w:cs="Times New Roman"/>
          <w:color w:val="212121"/>
          <w:sz w:val="24"/>
          <w:szCs w:val="24"/>
          <w:shd w:val="clear" w:color="auto" w:fill="FFFFFF"/>
        </w:rPr>
        <w:t>address</w:t>
      </w:r>
      <w:r w:rsidR="00BF1CD1">
        <w:rPr>
          <w:rFonts w:ascii="Times New Roman" w:eastAsia="Times New Roman" w:hAnsi="Times New Roman" w:cs="Times New Roman"/>
          <w:color w:val="212121"/>
          <w:sz w:val="24"/>
          <w:szCs w:val="24"/>
          <w:shd w:val="clear" w:color="auto" w:fill="FFFFFF"/>
        </w:rPr>
        <w:t xml:space="preserve"> </w:t>
      </w:r>
      <w:r w:rsidR="0036457F">
        <w:rPr>
          <w:rFonts w:ascii="Times New Roman" w:eastAsia="Times New Roman" w:hAnsi="Times New Roman" w:cs="Times New Roman"/>
          <w:color w:val="212121"/>
          <w:sz w:val="24"/>
          <w:szCs w:val="24"/>
          <w:shd w:val="clear" w:color="auto" w:fill="FFFFFF"/>
        </w:rPr>
        <w:t xml:space="preserve">the same </w:t>
      </w:r>
      <w:r w:rsidR="00BF1CD1">
        <w:rPr>
          <w:rFonts w:ascii="Times New Roman" w:eastAsia="Times New Roman" w:hAnsi="Times New Roman" w:cs="Times New Roman"/>
          <w:color w:val="212121"/>
          <w:sz w:val="24"/>
          <w:szCs w:val="24"/>
          <w:shd w:val="clear" w:color="auto" w:fill="FFFFFF"/>
        </w:rPr>
        <w:t xml:space="preserve">sections of the Act </w:t>
      </w:r>
      <w:r w:rsidR="0036457F">
        <w:rPr>
          <w:rFonts w:ascii="Times New Roman" w:eastAsia="Times New Roman" w:hAnsi="Times New Roman" w:cs="Times New Roman"/>
          <w:color w:val="212121"/>
          <w:sz w:val="24"/>
          <w:szCs w:val="24"/>
          <w:shd w:val="clear" w:color="auto" w:fill="FFFFFF"/>
        </w:rPr>
        <w:t xml:space="preserve">that were addressed by </w:t>
      </w:r>
      <w:r w:rsidR="00324A9D">
        <w:rPr>
          <w:rFonts w:ascii="Times New Roman" w:eastAsia="Times New Roman" w:hAnsi="Times New Roman" w:cs="Times New Roman"/>
          <w:color w:val="212121"/>
          <w:sz w:val="24"/>
          <w:szCs w:val="24"/>
          <w:shd w:val="clear" w:color="auto" w:fill="FFFFFF"/>
        </w:rPr>
        <w:t xml:space="preserve">the Supreme Court in </w:t>
      </w:r>
      <w:r w:rsidR="00324A9D">
        <w:rPr>
          <w:rFonts w:ascii="Times New Roman" w:eastAsia="Times New Roman" w:hAnsi="Times New Roman" w:cs="Times New Roman"/>
          <w:i/>
          <w:color w:val="212121"/>
          <w:sz w:val="24"/>
          <w:szCs w:val="24"/>
          <w:shd w:val="clear" w:color="auto" w:fill="FFFFFF"/>
        </w:rPr>
        <w:t>Kean Federation</w:t>
      </w:r>
      <w:r w:rsidR="0036457F">
        <w:rPr>
          <w:rFonts w:ascii="Times New Roman" w:eastAsia="Times New Roman" w:hAnsi="Times New Roman" w:cs="Times New Roman"/>
          <w:i/>
          <w:color w:val="212121"/>
          <w:sz w:val="24"/>
          <w:szCs w:val="24"/>
          <w:shd w:val="clear" w:color="auto" w:fill="FFFFFF"/>
        </w:rPr>
        <w:t xml:space="preserve">; </w:t>
      </w:r>
      <w:r w:rsidR="0036457F">
        <w:rPr>
          <w:rFonts w:ascii="Times New Roman" w:eastAsia="Times New Roman" w:hAnsi="Times New Roman" w:cs="Times New Roman"/>
          <w:color w:val="212121"/>
          <w:sz w:val="24"/>
          <w:szCs w:val="24"/>
          <w:shd w:val="clear" w:color="auto" w:fill="FFFFFF"/>
        </w:rPr>
        <w:t xml:space="preserve">specifically, the </w:t>
      </w:r>
      <w:r w:rsidR="00C568F2">
        <w:rPr>
          <w:rFonts w:ascii="Times New Roman" w:eastAsia="Times New Roman" w:hAnsi="Times New Roman" w:cs="Times New Roman"/>
          <w:color w:val="212121"/>
          <w:sz w:val="24"/>
          <w:szCs w:val="24"/>
          <w:shd w:val="clear" w:color="auto" w:fill="FFFFFF"/>
        </w:rPr>
        <w:t>provision</w:t>
      </w:r>
      <w:r w:rsidR="0036457F">
        <w:rPr>
          <w:rFonts w:ascii="Times New Roman" w:eastAsia="Times New Roman" w:hAnsi="Times New Roman" w:cs="Times New Roman"/>
          <w:color w:val="212121"/>
          <w:sz w:val="24"/>
          <w:szCs w:val="24"/>
          <w:shd w:val="clear" w:color="auto" w:fill="FFFFFF"/>
        </w:rPr>
        <w:t xml:space="preserve"> of meeting </w:t>
      </w:r>
      <w:r w:rsidR="004E415A">
        <w:rPr>
          <w:rFonts w:ascii="Times New Roman" w:eastAsia="Times New Roman" w:hAnsi="Times New Roman" w:cs="Times New Roman"/>
          <w:color w:val="212121"/>
          <w:sz w:val="24"/>
          <w:szCs w:val="24"/>
          <w:shd w:val="clear" w:color="auto" w:fill="FFFFFF"/>
        </w:rPr>
        <w:t>minutes to members of the public</w:t>
      </w:r>
      <w:r w:rsidR="00324A9D">
        <w:rPr>
          <w:rFonts w:ascii="Times New Roman" w:eastAsia="Times New Roman" w:hAnsi="Times New Roman" w:cs="Times New Roman"/>
          <w:color w:val="212121"/>
          <w:sz w:val="24"/>
          <w:szCs w:val="24"/>
          <w:shd w:val="clear" w:color="auto" w:fill="FFFFFF"/>
        </w:rPr>
        <w:t>.</w:t>
      </w:r>
    </w:p>
    <w:p w:rsidR="005B2456" w:rsidRDefault="005B2456"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320779" w:rsidRDefault="00320779" w:rsidP="008527A7">
      <w:pPr>
        <w:spacing w:line="276" w:lineRule="auto"/>
        <w:ind w:firstLine="720"/>
        <w:jc w:val="both"/>
        <w:rPr>
          <w:rFonts w:ascii="Times New Roman" w:eastAsia="Times New Roman" w:hAnsi="Times New Roman" w:cs="Times New Roman"/>
          <w:i/>
          <w:color w:val="212121"/>
          <w:sz w:val="24"/>
          <w:szCs w:val="24"/>
          <w:shd w:val="clear" w:color="auto" w:fill="FFFFFF"/>
        </w:rPr>
      </w:pPr>
      <w:r>
        <w:rPr>
          <w:rFonts w:ascii="Segoe UI Semilight" w:eastAsia="Times New Roman" w:hAnsi="Segoe UI Semilight" w:cs="Segoe UI Semilight"/>
          <w:i/>
          <w:color w:val="212121"/>
          <w:sz w:val="24"/>
          <w:szCs w:val="24"/>
          <w:shd w:val="clear" w:color="auto" w:fill="FFFFFF"/>
        </w:rPr>
        <w:t>•</w:t>
      </w:r>
      <w:r>
        <w:rPr>
          <w:rFonts w:ascii="Times New Roman" w:eastAsia="Times New Roman" w:hAnsi="Times New Roman" w:cs="Times New Roman"/>
          <w:i/>
          <w:color w:val="212121"/>
          <w:sz w:val="24"/>
          <w:szCs w:val="24"/>
          <w:shd w:val="clear" w:color="auto" w:fill="FFFFFF"/>
        </w:rPr>
        <w:t xml:space="preserve"> Public Minutes</w:t>
      </w:r>
    </w:p>
    <w:p w:rsidR="00320779" w:rsidRPr="00320779" w:rsidRDefault="00320779" w:rsidP="008527A7">
      <w:pPr>
        <w:spacing w:line="276" w:lineRule="auto"/>
        <w:ind w:firstLine="720"/>
        <w:jc w:val="both"/>
        <w:rPr>
          <w:rFonts w:ascii="Times New Roman" w:eastAsia="Times New Roman" w:hAnsi="Times New Roman" w:cs="Times New Roman"/>
          <w:i/>
          <w:color w:val="212121"/>
          <w:sz w:val="24"/>
          <w:szCs w:val="24"/>
          <w:shd w:val="clear" w:color="auto" w:fill="FFFFFF"/>
        </w:rPr>
      </w:pPr>
    </w:p>
    <w:p w:rsidR="004E415A" w:rsidRDefault="004E415A"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A public entity is responsible for establishing its meeting schedule to suit the managerial obligations of its public responsibilities.</w:t>
      </w:r>
      <w:r>
        <w:rPr>
          <w:rStyle w:val="FootnoteReference"/>
          <w:rFonts w:eastAsia="Times New Roman" w:cs="Times New Roman"/>
          <w:color w:val="212121"/>
          <w:sz w:val="24"/>
          <w:szCs w:val="24"/>
          <w:shd w:val="clear" w:color="auto" w:fill="FFFFFF"/>
        </w:rPr>
        <w:footnoteReference w:id="58"/>
      </w:r>
      <w:r>
        <w:rPr>
          <w:rFonts w:ascii="Times New Roman" w:eastAsia="Times New Roman" w:hAnsi="Times New Roman" w:cs="Times New Roman"/>
          <w:color w:val="212121"/>
          <w:sz w:val="24"/>
          <w:szCs w:val="24"/>
          <w:shd w:val="clear" w:color="auto" w:fill="FFFFFF"/>
        </w:rPr>
        <w:t xml:space="preserve"> The entity must consider this responsibility in conjunction with its obligation to make minutes promptly available to the public.</w:t>
      </w:r>
      <w:r>
        <w:rPr>
          <w:rStyle w:val="FootnoteReference"/>
          <w:rFonts w:eastAsia="Times New Roman" w:cs="Times New Roman"/>
          <w:color w:val="212121"/>
          <w:sz w:val="24"/>
          <w:szCs w:val="24"/>
          <w:shd w:val="clear" w:color="auto" w:fill="FFFFFF"/>
        </w:rPr>
        <w:footnoteReference w:id="59"/>
      </w:r>
      <w:r w:rsidR="00320779">
        <w:rPr>
          <w:rFonts w:ascii="Times New Roman" w:eastAsia="Times New Roman" w:hAnsi="Times New Roman" w:cs="Times New Roman"/>
          <w:color w:val="212121"/>
          <w:sz w:val="24"/>
          <w:szCs w:val="24"/>
          <w:shd w:val="clear" w:color="auto" w:fill="FFFFFF"/>
        </w:rPr>
        <w:t xml:space="preserve"> </w:t>
      </w:r>
      <w:r>
        <w:rPr>
          <w:rFonts w:ascii="Times New Roman" w:eastAsia="Times New Roman" w:hAnsi="Times New Roman" w:cs="Times New Roman"/>
          <w:color w:val="212121"/>
          <w:sz w:val="24"/>
          <w:szCs w:val="24"/>
          <w:shd w:val="clear" w:color="auto" w:fill="FFFFFF"/>
        </w:rPr>
        <w:t>As noted</w:t>
      </w:r>
      <w:r w:rsidR="00081E00">
        <w:rPr>
          <w:rFonts w:ascii="Times New Roman" w:eastAsia="Times New Roman" w:hAnsi="Times New Roman" w:cs="Times New Roman"/>
          <w:color w:val="212121"/>
          <w:sz w:val="24"/>
          <w:szCs w:val="24"/>
          <w:shd w:val="clear" w:color="auto" w:fill="FFFFFF"/>
        </w:rPr>
        <w:t xml:space="preserve"> earlier, the term “promptly available” is not defined by the </w:t>
      </w:r>
      <w:r w:rsidR="00D00181">
        <w:rPr>
          <w:rFonts w:ascii="Times New Roman" w:eastAsia="Times New Roman" w:hAnsi="Times New Roman" w:cs="Times New Roman"/>
          <w:color w:val="212121"/>
          <w:sz w:val="24"/>
          <w:szCs w:val="24"/>
          <w:shd w:val="clear" w:color="auto" w:fill="FFFFFF"/>
        </w:rPr>
        <w:t>Act</w:t>
      </w:r>
      <w:r>
        <w:rPr>
          <w:rFonts w:ascii="Times New Roman" w:eastAsia="Times New Roman" w:hAnsi="Times New Roman" w:cs="Times New Roman"/>
          <w:color w:val="212121"/>
          <w:sz w:val="24"/>
          <w:szCs w:val="24"/>
          <w:shd w:val="clear" w:color="auto" w:fill="FFFFFF"/>
        </w:rPr>
        <w:t>.</w:t>
      </w:r>
      <w:r w:rsidR="00320779">
        <w:rPr>
          <w:rFonts w:ascii="Times New Roman" w:eastAsia="Times New Roman" w:hAnsi="Times New Roman" w:cs="Times New Roman"/>
          <w:color w:val="212121"/>
          <w:sz w:val="24"/>
          <w:szCs w:val="24"/>
          <w:shd w:val="clear" w:color="auto" w:fill="FFFFFF"/>
        </w:rPr>
        <w:t xml:space="preserve"> </w:t>
      </w:r>
      <w:r>
        <w:rPr>
          <w:rFonts w:ascii="Times New Roman" w:eastAsia="Times New Roman" w:hAnsi="Times New Roman" w:cs="Times New Roman"/>
          <w:color w:val="212121"/>
          <w:sz w:val="24"/>
          <w:szCs w:val="24"/>
          <w:shd w:val="clear" w:color="auto" w:fill="FFFFFF"/>
        </w:rPr>
        <w:t xml:space="preserve">In the absence of such a definition, and because, “[t]he OPMA’s requirements apply to a diverse range of public entities…” the Supreme Court </w:t>
      </w:r>
      <w:r w:rsidR="0097509B">
        <w:rPr>
          <w:rFonts w:ascii="Times New Roman" w:eastAsia="Times New Roman" w:hAnsi="Times New Roman" w:cs="Times New Roman"/>
          <w:color w:val="212121"/>
          <w:sz w:val="24"/>
          <w:szCs w:val="24"/>
          <w:shd w:val="clear" w:color="auto" w:fill="FFFFFF"/>
        </w:rPr>
        <w:t xml:space="preserve">has been </w:t>
      </w:r>
      <w:r>
        <w:rPr>
          <w:rFonts w:ascii="Times New Roman" w:eastAsia="Times New Roman" w:hAnsi="Times New Roman" w:cs="Times New Roman"/>
          <w:color w:val="212121"/>
          <w:sz w:val="24"/>
          <w:szCs w:val="24"/>
          <w:shd w:val="clear" w:color="auto" w:fill="FFFFFF"/>
        </w:rPr>
        <w:t>reluctant to mandate a “</w:t>
      </w:r>
      <w:r w:rsidR="00320779">
        <w:rPr>
          <w:rFonts w:ascii="Times New Roman" w:eastAsia="Times New Roman" w:hAnsi="Times New Roman" w:cs="Times New Roman"/>
          <w:color w:val="212121"/>
          <w:sz w:val="24"/>
          <w:szCs w:val="24"/>
          <w:shd w:val="clear" w:color="auto" w:fill="FFFFFF"/>
        </w:rPr>
        <w:t>…</w:t>
      </w:r>
      <w:r>
        <w:rPr>
          <w:rFonts w:ascii="Times New Roman" w:eastAsia="Times New Roman" w:hAnsi="Times New Roman" w:cs="Times New Roman"/>
          <w:color w:val="212121"/>
          <w:sz w:val="24"/>
          <w:szCs w:val="24"/>
          <w:shd w:val="clear" w:color="auto" w:fill="FFFFFF"/>
        </w:rPr>
        <w:t>set amount of time for the release of minutes….”</w:t>
      </w:r>
      <w:r>
        <w:rPr>
          <w:rStyle w:val="FootnoteReference"/>
          <w:rFonts w:eastAsia="Times New Roman" w:cs="Times New Roman"/>
          <w:color w:val="212121"/>
          <w:sz w:val="24"/>
          <w:szCs w:val="24"/>
          <w:shd w:val="clear" w:color="auto" w:fill="FFFFFF"/>
        </w:rPr>
        <w:footnoteReference w:id="60"/>
      </w:r>
      <w:r>
        <w:rPr>
          <w:rFonts w:ascii="Times New Roman" w:eastAsia="Times New Roman" w:hAnsi="Times New Roman" w:cs="Times New Roman"/>
          <w:color w:val="212121"/>
          <w:sz w:val="24"/>
          <w:szCs w:val="24"/>
          <w:shd w:val="clear" w:color="auto" w:fill="FFFFFF"/>
        </w:rPr>
        <w:t xml:space="preserve"> </w:t>
      </w:r>
      <w:r w:rsidR="00320779">
        <w:rPr>
          <w:rFonts w:ascii="Times New Roman" w:eastAsia="Times New Roman" w:hAnsi="Times New Roman" w:cs="Times New Roman"/>
          <w:color w:val="212121"/>
          <w:sz w:val="24"/>
          <w:szCs w:val="24"/>
          <w:shd w:val="clear" w:color="auto" w:fill="FFFFFF"/>
        </w:rPr>
        <w:t xml:space="preserve">A legislative solution that balances the managerial prerogatives of the public body with the right of the public to promptly obtain these minutes </w:t>
      </w:r>
      <w:r w:rsidR="0097509B">
        <w:rPr>
          <w:rFonts w:ascii="Times New Roman" w:eastAsia="Times New Roman" w:hAnsi="Times New Roman" w:cs="Times New Roman"/>
          <w:color w:val="212121"/>
          <w:sz w:val="24"/>
          <w:szCs w:val="24"/>
          <w:shd w:val="clear" w:color="auto" w:fill="FFFFFF"/>
        </w:rPr>
        <w:t xml:space="preserve">would </w:t>
      </w:r>
      <w:r w:rsidR="00320779">
        <w:rPr>
          <w:rFonts w:ascii="Times New Roman" w:eastAsia="Times New Roman" w:hAnsi="Times New Roman" w:cs="Times New Roman"/>
          <w:color w:val="212121"/>
          <w:sz w:val="24"/>
          <w:szCs w:val="24"/>
          <w:shd w:val="clear" w:color="auto" w:fill="FFFFFF"/>
        </w:rPr>
        <w:t xml:space="preserve">eliminate the need for future litigation to define the term “promptly available.” </w:t>
      </w:r>
    </w:p>
    <w:p w:rsidR="005B2456" w:rsidRDefault="005B2456"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4F6BAF" w:rsidRPr="00CA0014" w:rsidRDefault="00320779"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S106 and A1019</w:t>
      </w:r>
      <w:r w:rsidR="004F6BAF">
        <w:rPr>
          <w:rFonts w:ascii="Times New Roman" w:eastAsia="Times New Roman" w:hAnsi="Times New Roman" w:cs="Times New Roman"/>
          <w:color w:val="212121"/>
          <w:sz w:val="24"/>
          <w:szCs w:val="24"/>
          <w:shd w:val="clear" w:color="auto" w:fill="FFFFFF"/>
        </w:rPr>
        <w:t xml:space="preserve"> </w:t>
      </w:r>
      <w:r w:rsidR="00081E00">
        <w:rPr>
          <w:rFonts w:ascii="Times New Roman" w:eastAsia="Times New Roman" w:hAnsi="Times New Roman" w:cs="Times New Roman"/>
          <w:color w:val="212121"/>
          <w:sz w:val="24"/>
          <w:szCs w:val="24"/>
          <w:shd w:val="clear" w:color="auto" w:fill="FFFFFF"/>
        </w:rPr>
        <w:t xml:space="preserve">require a public body to make its minutes </w:t>
      </w:r>
      <w:r w:rsidR="00373591">
        <w:rPr>
          <w:rFonts w:ascii="Times New Roman" w:eastAsia="Times New Roman" w:hAnsi="Times New Roman" w:cs="Times New Roman"/>
          <w:color w:val="212121"/>
          <w:sz w:val="24"/>
          <w:szCs w:val="24"/>
          <w:shd w:val="clear" w:color="auto" w:fill="FFFFFF"/>
        </w:rPr>
        <w:t>“…</w:t>
      </w:r>
      <w:r w:rsidR="004F6BAF">
        <w:rPr>
          <w:rFonts w:ascii="Times New Roman" w:eastAsia="Times New Roman" w:hAnsi="Times New Roman" w:cs="Times New Roman"/>
          <w:color w:val="212121"/>
          <w:sz w:val="24"/>
          <w:szCs w:val="24"/>
          <w:shd w:val="clear" w:color="auto" w:fill="FFFFFF"/>
        </w:rPr>
        <w:t>available to the public as soon as possible but not later than 15 business days after the next meeting of the public body occurring after the meeting for which the minutes were prepared</w:t>
      </w:r>
      <w:r w:rsidR="00373591">
        <w:rPr>
          <w:rFonts w:ascii="Times New Roman" w:eastAsia="Times New Roman" w:hAnsi="Times New Roman" w:cs="Times New Roman"/>
          <w:color w:val="212121"/>
          <w:sz w:val="24"/>
          <w:szCs w:val="24"/>
          <w:shd w:val="clear" w:color="auto" w:fill="FFFFFF"/>
        </w:rPr>
        <w:t>, to the extent that making such matters public shall not be inconsistent” with the Act</w:t>
      </w:r>
      <w:r w:rsidR="004F6BAF">
        <w:rPr>
          <w:rFonts w:ascii="Times New Roman" w:eastAsia="Times New Roman" w:hAnsi="Times New Roman" w:cs="Times New Roman"/>
          <w:color w:val="212121"/>
          <w:sz w:val="24"/>
          <w:szCs w:val="24"/>
          <w:shd w:val="clear" w:color="auto" w:fill="FFFFFF"/>
        </w:rPr>
        <w:t>.</w:t>
      </w:r>
      <w:r w:rsidR="004F6BAF">
        <w:rPr>
          <w:rStyle w:val="FootnoteReference"/>
          <w:rFonts w:eastAsia="Times New Roman" w:cs="Times New Roman"/>
          <w:color w:val="212121"/>
          <w:sz w:val="24"/>
          <w:szCs w:val="24"/>
          <w:shd w:val="clear" w:color="auto" w:fill="FFFFFF"/>
        </w:rPr>
        <w:footnoteReference w:id="61"/>
      </w:r>
      <w:r w:rsidR="00373591">
        <w:rPr>
          <w:rFonts w:ascii="Times New Roman" w:eastAsia="Times New Roman" w:hAnsi="Times New Roman" w:cs="Times New Roman"/>
          <w:color w:val="212121"/>
          <w:sz w:val="24"/>
          <w:szCs w:val="24"/>
          <w:shd w:val="clear" w:color="auto" w:fill="FFFFFF"/>
        </w:rPr>
        <w:t xml:space="preserve"> </w:t>
      </w:r>
      <w:r w:rsidR="0097509B">
        <w:rPr>
          <w:rFonts w:ascii="Times New Roman" w:eastAsia="Times New Roman" w:hAnsi="Times New Roman" w:cs="Times New Roman"/>
          <w:color w:val="212121"/>
          <w:sz w:val="24"/>
          <w:szCs w:val="24"/>
          <w:shd w:val="clear" w:color="auto" w:fill="FFFFFF"/>
        </w:rPr>
        <w:t>T</w:t>
      </w:r>
      <w:r w:rsidR="00CA0014">
        <w:rPr>
          <w:rFonts w:ascii="Times New Roman" w:eastAsia="Times New Roman" w:hAnsi="Times New Roman" w:cs="Times New Roman"/>
          <w:color w:val="212121"/>
          <w:sz w:val="24"/>
          <w:szCs w:val="24"/>
          <w:shd w:val="clear" w:color="auto" w:fill="FFFFFF"/>
        </w:rPr>
        <w:t xml:space="preserve">his </w:t>
      </w:r>
      <w:r w:rsidR="00462CBC">
        <w:rPr>
          <w:rFonts w:ascii="Times New Roman" w:eastAsia="Times New Roman" w:hAnsi="Times New Roman" w:cs="Times New Roman"/>
          <w:color w:val="212121"/>
          <w:sz w:val="24"/>
          <w:szCs w:val="24"/>
          <w:shd w:val="clear" w:color="auto" w:fill="FFFFFF"/>
        </w:rPr>
        <w:t xml:space="preserve">modification </w:t>
      </w:r>
      <w:r w:rsidR="00A84D70">
        <w:rPr>
          <w:rFonts w:ascii="Times New Roman" w:eastAsia="Times New Roman" w:hAnsi="Times New Roman" w:cs="Times New Roman"/>
          <w:color w:val="212121"/>
          <w:sz w:val="24"/>
          <w:szCs w:val="24"/>
          <w:shd w:val="clear" w:color="auto" w:fill="FFFFFF"/>
        </w:rPr>
        <w:t>exchange</w:t>
      </w:r>
      <w:r w:rsidR="00E4558F">
        <w:rPr>
          <w:rFonts w:ascii="Times New Roman" w:eastAsia="Times New Roman" w:hAnsi="Times New Roman" w:cs="Times New Roman"/>
          <w:color w:val="212121"/>
          <w:sz w:val="24"/>
          <w:szCs w:val="24"/>
          <w:shd w:val="clear" w:color="auto" w:fill="FFFFFF"/>
        </w:rPr>
        <w:t>s</w:t>
      </w:r>
      <w:r w:rsidR="00CA0014">
        <w:rPr>
          <w:rFonts w:ascii="Times New Roman" w:eastAsia="Times New Roman" w:hAnsi="Times New Roman" w:cs="Times New Roman"/>
          <w:color w:val="212121"/>
          <w:sz w:val="24"/>
          <w:szCs w:val="24"/>
          <w:shd w:val="clear" w:color="auto" w:fill="FFFFFF"/>
        </w:rPr>
        <w:t xml:space="preserve"> the “reasonableness” test</w:t>
      </w:r>
      <w:r w:rsidR="00081E00">
        <w:rPr>
          <w:rFonts w:ascii="Times New Roman" w:eastAsia="Times New Roman" w:hAnsi="Times New Roman" w:cs="Times New Roman"/>
          <w:color w:val="212121"/>
          <w:sz w:val="24"/>
          <w:szCs w:val="24"/>
          <w:shd w:val="clear" w:color="auto" w:fill="FFFFFF"/>
        </w:rPr>
        <w:t>,</w:t>
      </w:r>
      <w:r w:rsidR="00CA0014">
        <w:rPr>
          <w:rFonts w:ascii="Times New Roman" w:eastAsia="Times New Roman" w:hAnsi="Times New Roman" w:cs="Times New Roman"/>
          <w:color w:val="212121"/>
          <w:sz w:val="24"/>
          <w:szCs w:val="24"/>
          <w:shd w:val="clear" w:color="auto" w:fill="FFFFFF"/>
        </w:rPr>
        <w:t xml:space="preserve"> </w:t>
      </w:r>
      <w:r w:rsidR="00E4558F">
        <w:rPr>
          <w:rFonts w:ascii="Times New Roman" w:eastAsia="Times New Roman" w:hAnsi="Times New Roman" w:cs="Times New Roman"/>
          <w:color w:val="212121"/>
          <w:sz w:val="24"/>
          <w:szCs w:val="24"/>
          <w:shd w:val="clear" w:color="auto" w:fill="FFFFFF"/>
        </w:rPr>
        <w:t>announced</w:t>
      </w:r>
      <w:r w:rsidR="00CA0014">
        <w:rPr>
          <w:rFonts w:ascii="Times New Roman" w:eastAsia="Times New Roman" w:hAnsi="Times New Roman" w:cs="Times New Roman"/>
          <w:color w:val="212121"/>
          <w:sz w:val="24"/>
          <w:szCs w:val="24"/>
          <w:shd w:val="clear" w:color="auto" w:fill="FFFFFF"/>
        </w:rPr>
        <w:t xml:space="preserve"> by the Supreme Court in </w:t>
      </w:r>
      <w:r w:rsidR="00CA0014" w:rsidRPr="00CA0014">
        <w:rPr>
          <w:rFonts w:ascii="Times New Roman" w:eastAsia="Times New Roman" w:hAnsi="Times New Roman" w:cs="Times New Roman"/>
          <w:i/>
          <w:color w:val="212121"/>
          <w:sz w:val="24"/>
          <w:szCs w:val="24"/>
          <w:shd w:val="clear" w:color="auto" w:fill="FFFFFF"/>
        </w:rPr>
        <w:t>Kean Federation</w:t>
      </w:r>
      <w:r w:rsidR="00081E00">
        <w:rPr>
          <w:rFonts w:ascii="Times New Roman" w:eastAsia="Times New Roman" w:hAnsi="Times New Roman" w:cs="Times New Roman"/>
          <w:color w:val="212121"/>
          <w:sz w:val="24"/>
          <w:szCs w:val="24"/>
          <w:shd w:val="clear" w:color="auto" w:fill="FFFFFF"/>
        </w:rPr>
        <w:t>,</w:t>
      </w:r>
      <w:r w:rsidR="00CA0014">
        <w:rPr>
          <w:rFonts w:ascii="Times New Roman" w:eastAsia="Times New Roman" w:hAnsi="Times New Roman" w:cs="Times New Roman"/>
          <w:i/>
          <w:color w:val="212121"/>
          <w:sz w:val="24"/>
          <w:szCs w:val="24"/>
          <w:shd w:val="clear" w:color="auto" w:fill="FFFFFF"/>
        </w:rPr>
        <w:t xml:space="preserve"> </w:t>
      </w:r>
      <w:r w:rsidR="00CA0014">
        <w:rPr>
          <w:rFonts w:ascii="Times New Roman" w:eastAsia="Times New Roman" w:hAnsi="Times New Roman" w:cs="Times New Roman"/>
          <w:color w:val="212121"/>
          <w:sz w:val="24"/>
          <w:szCs w:val="24"/>
          <w:shd w:val="clear" w:color="auto" w:fill="FFFFFF"/>
        </w:rPr>
        <w:t xml:space="preserve">with </w:t>
      </w:r>
      <w:r w:rsidR="00A84D70">
        <w:rPr>
          <w:rFonts w:ascii="Times New Roman" w:eastAsia="Times New Roman" w:hAnsi="Times New Roman" w:cs="Times New Roman"/>
          <w:color w:val="212121"/>
          <w:sz w:val="24"/>
          <w:szCs w:val="24"/>
          <w:shd w:val="clear" w:color="auto" w:fill="FFFFFF"/>
        </w:rPr>
        <w:t>a specific timeframe within which a public body must make its meeting m</w:t>
      </w:r>
      <w:r>
        <w:rPr>
          <w:rFonts w:ascii="Times New Roman" w:eastAsia="Times New Roman" w:hAnsi="Times New Roman" w:cs="Times New Roman"/>
          <w:color w:val="212121"/>
          <w:sz w:val="24"/>
          <w:szCs w:val="24"/>
          <w:shd w:val="clear" w:color="auto" w:fill="FFFFFF"/>
        </w:rPr>
        <w:t>inutes available to the public</w:t>
      </w:r>
      <w:r w:rsidR="005E3C86">
        <w:rPr>
          <w:rFonts w:ascii="Times New Roman" w:eastAsia="Times New Roman" w:hAnsi="Times New Roman" w:cs="Times New Roman"/>
          <w:color w:val="212121"/>
          <w:sz w:val="24"/>
          <w:szCs w:val="24"/>
          <w:shd w:val="clear" w:color="auto" w:fill="FFFFFF"/>
        </w:rPr>
        <w:t>,</w:t>
      </w:r>
      <w:r>
        <w:rPr>
          <w:rFonts w:ascii="Times New Roman" w:eastAsia="Times New Roman" w:hAnsi="Times New Roman" w:cs="Times New Roman"/>
          <w:color w:val="212121"/>
          <w:sz w:val="24"/>
          <w:szCs w:val="24"/>
          <w:shd w:val="clear" w:color="auto" w:fill="FFFFFF"/>
        </w:rPr>
        <w:t xml:space="preserve"> while affording the public body the discretion to determine the most effective way to conduct its proceedings.</w:t>
      </w:r>
      <w:r w:rsidR="0097509B">
        <w:rPr>
          <w:rFonts w:ascii="Times New Roman" w:eastAsia="Times New Roman" w:hAnsi="Times New Roman" w:cs="Times New Roman"/>
          <w:color w:val="212121"/>
          <w:sz w:val="24"/>
          <w:szCs w:val="24"/>
          <w:shd w:val="clear" w:color="auto" w:fill="FFFFFF"/>
        </w:rPr>
        <w:t xml:space="preserve"> </w:t>
      </w:r>
    </w:p>
    <w:p w:rsidR="00320779" w:rsidRDefault="00320779"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320779" w:rsidRDefault="00320779" w:rsidP="008527A7">
      <w:pPr>
        <w:spacing w:line="276" w:lineRule="auto"/>
        <w:ind w:firstLine="720"/>
        <w:jc w:val="both"/>
        <w:rPr>
          <w:rFonts w:ascii="Times New Roman" w:eastAsia="Times New Roman" w:hAnsi="Times New Roman" w:cs="Times New Roman"/>
          <w:i/>
          <w:color w:val="212121"/>
          <w:sz w:val="24"/>
          <w:szCs w:val="24"/>
          <w:shd w:val="clear" w:color="auto" w:fill="FFFFFF"/>
        </w:rPr>
      </w:pPr>
      <w:r>
        <w:rPr>
          <w:rFonts w:ascii="Segoe UI Semilight" w:eastAsia="Times New Roman" w:hAnsi="Segoe UI Semilight" w:cs="Segoe UI Semilight"/>
          <w:color w:val="212121"/>
          <w:sz w:val="24"/>
          <w:szCs w:val="24"/>
          <w:shd w:val="clear" w:color="auto" w:fill="FFFFFF"/>
        </w:rPr>
        <w:t>•</w:t>
      </w:r>
      <w:r>
        <w:rPr>
          <w:rFonts w:ascii="Times New Roman" w:eastAsia="Times New Roman" w:hAnsi="Times New Roman" w:cs="Times New Roman"/>
          <w:color w:val="212121"/>
          <w:sz w:val="24"/>
          <w:szCs w:val="24"/>
          <w:shd w:val="clear" w:color="auto" w:fill="FFFFFF"/>
        </w:rPr>
        <w:t xml:space="preserve"> </w:t>
      </w:r>
      <w:r>
        <w:rPr>
          <w:rFonts w:ascii="Times New Roman" w:eastAsia="Times New Roman" w:hAnsi="Times New Roman" w:cs="Times New Roman"/>
          <w:i/>
          <w:color w:val="212121"/>
          <w:sz w:val="24"/>
          <w:szCs w:val="24"/>
          <w:shd w:val="clear" w:color="auto" w:fill="FFFFFF"/>
        </w:rPr>
        <w:t xml:space="preserve">The </w:t>
      </w:r>
      <w:r w:rsidR="0097509B">
        <w:rPr>
          <w:rFonts w:ascii="Times New Roman" w:eastAsia="Times New Roman" w:hAnsi="Times New Roman" w:cs="Times New Roman"/>
          <w:i/>
          <w:color w:val="212121"/>
          <w:sz w:val="24"/>
          <w:szCs w:val="24"/>
          <w:shd w:val="clear" w:color="auto" w:fill="FFFFFF"/>
        </w:rPr>
        <w:t>Notice Requirement</w:t>
      </w:r>
    </w:p>
    <w:p w:rsidR="0097509B" w:rsidRPr="00320779" w:rsidRDefault="0097509B" w:rsidP="008527A7">
      <w:pPr>
        <w:spacing w:line="276" w:lineRule="auto"/>
        <w:ind w:firstLine="720"/>
        <w:jc w:val="both"/>
        <w:rPr>
          <w:rFonts w:ascii="Times New Roman" w:eastAsia="Times New Roman" w:hAnsi="Times New Roman" w:cs="Times New Roman"/>
          <w:i/>
          <w:color w:val="212121"/>
          <w:sz w:val="24"/>
          <w:szCs w:val="24"/>
          <w:shd w:val="clear" w:color="auto" w:fill="FFFFFF"/>
        </w:rPr>
      </w:pPr>
    </w:p>
    <w:p w:rsidR="0097509B" w:rsidRDefault="0097509B"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Within the context of N.J.S. 10:4-12(b</w:t>
      </w:r>
      <w:proofErr w:type="gramStart"/>
      <w:r>
        <w:rPr>
          <w:rFonts w:ascii="Times New Roman" w:eastAsia="Times New Roman" w:hAnsi="Times New Roman" w:cs="Times New Roman"/>
          <w:color w:val="212121"/>
          <w:sz w:val="24"/>
          <w:szCs w:val="24"/>
          <w:shd w:val="clear" w:color="auto" w:fill="FFFFFF"/>
        </w:rPr>
        <w:t>)(</w:t>
      </w:r>
      <w:proofErr w:type="gramEnd"/>
      <w:r>
        <w:rPr>
          <w:rFonts w:ascii="Times New Roman" w:eastAsia="Times New Roman" w:hAnsi="Times New Roman" w:cs="Times New Roman"/>
          <w:color w:val="212121"/>
          <w:sz w:val="24"/>
          <w:szCs w:val="24"/>
          <w:shd w:val="clear" w:color="auto" w:fill="FFFFFF"/>
        </w:rPr>
        <w:t>8), the impact of the pending legislation is significant. T</w:t>
      </w:r>
      <w:r w:rsidR="003E121E">
        <w:rPr>
          <w:rFonts w:ascii="Times New Roman" w:eastAsia="Times New Roman" w:hAnsi="Times New Roman" w:cs="Times New Roman"/>
          <w:color w:val="212121"/>
          <w:sz w:val="24"/>
          <w:szCs w:val="24"/>
          <w:shd w:val="clear" w:color="auto" w:fill="FFFFFF"/>
        </w:rPr>
        <w:t xml:space="preserve">he </w:t>
      </w:r>
      <w:r w:rsidR="00103176">
        <w:rPr>
          <w:rFonts w:ascii="Times New Roman" w:eastAsia="Times New Roman" w:hAnsi="Times New Roman" w:cs="Times New Roman"/>
          <w:color w:val="212121"/>
          <w:sz w:val="24"/>
          <w:szCs w:val="24"/>
          <w:shd w:val="clear" w:color="auto" w:fill="FFFFFF"/>
        </w:rPr>
        <w:t>bills</w:t>
      </w:r>
      <w:r w:rsidR="003E121E">
        <w:rPr>
          <w:rFonts w:ascii="Times New Roman" w:eastAsia="Times New Roman" w:hAnsi="Times New Roman" w:cs="Times New Roman"/>
          <w:color w:val="212121"/>
          <w:sz w:val="24"/>
          <w:szCs w:val="24"/>
          <w:shd w:val="clear" w:color="auto" w:fill="FFFFFF"/>
        </w:rPr>
        <w:t xml:space="preserve"> </w:t>
      </w:r>
      <w:r w:rsidR="00E4558F">
        <w:rPr>
          <w:rFonts w:ascii="Times New Roman" w:eastAsia="Times New Roman" w:hAnsi="Times New Roman" w:cs="Times New Roman"/>
          <w:color w:val="212121"/>
          <w:sz w:val="24"/>
          <w:szCs w:val="24"/>
          <w:shd w:val="clear" w:color="auto" w:fill="FFFFFF"/>
        </w:rPr>
        <w:t xml:space="preserve">formalize the notice requirements </w:t>
      </w:r>
      <w:r w:rsidR="0057690E">
        <w:rPr>
          <w:rFonts w:ascii="Times New Roman" w:eastAsia="Times New Roman" w:hAnsi="Times New Roman" w:cs="Times New Roman"/>
          <w:color w:val="212121"/>
          <w:sz w:val="24"/>
          <w:szCs w:val="24"/>
          <w:shd w:val="clear" w:color="auto" w:fill="FFFFFF"/>
        </w:rPr>
        <w:t xml:space="preserve">established in </w:t>
      </w:r>
      <w:r w:rsidR="0057690E">
        <w:rPr>
          <w:rFonts w:ascii="Times New Roman" w:hAnsi="Times New Roman" w:cs="Times New Roman"/>
          <w:i/>
          <w:sz w:val="24"/>
          <w:szCs w:val="24"/>
        </w:rPr>
        <w:t xml:space="preserve">Rice v. Union </w:t>
      </w:r>
      <w:proofErr w:type="spellStart"/>
      <w:r w:rsidR="0057690E">
        <w:rPr>
          <w:rFonts w:ascii="Times New Roman" w:hAnsi="Times New Roman" w:cs="Times New Roman"/>
          <w:i/>
          <w:sz w:val="24"/>
          <w:szCs w:val="24"/>
        </w:rPr>
        <w:t>C</w:t>
      </w:r>
      <w:r w:rsidR="00320779">
        <w:rPr>
          <w:rFonts w:ascii="Times New Roman" w:hAnsi="Times New Roman" w:cs="Times New Roman"/>
          <w:i/>
          <w:sz w:val="24"/>
          <w:szCs w:val="24"/>
        </w:rPr>
        <w:t>n</w:t>
      </w:r>
      <w:r w:rsidR="0057690E">
        <w:rPr>
          <w:rFonts w:ascii="Times New Roman" w:hAnsi="Times New Roman" w:cs="Times New Roman"/>
          <w:i/>
          <w:sz w:val="24"/>
          <w:szCs w:val="24"/>
        </w:rPr>
        <w:t>ty</w:t>
      </w:r>
      <w:proofErr w:type="spellEnd"/>
      <w:r w:rsidR="00320779">
        <w:rPr>
          <w:rFonts w:ascii="Times New Roman" w:hAnsi="Times New Roman" w:cs="Times New Roman"/>
          <w:i/>
          <w:sz w:val="24"/>
          <w:szCs w:val="24"/>
        </w:rPr>
        <w:t>.</w:t>
      </w:r>
      <w:r w:rsidR="0057690E">
        <w:rPr>
          <w:rFonts w:ascii="Times New Roman" w:hAnsi="Times New Roman" w:cs="Times New Roman"/>
          <w:i/>
          <w:sz w:val="24"/>
          <w:szCs w:val="24"/>
        </w:rPr>
        <w:t xml:space="preserve"> Reg</w:t>
      </w:r>
      <w:r w:rsidR="00320779">
        <w:rPr>
          <w:rFonts w:ascii="Times New Roman" w:hAnsi="Times New Roman" w:cs="Times New Roman"/>
          <w:i/>
          <w:sz w:val="24"/>
          <w:szCs w:val="24"/>
        </w:rPr>
        <w:t>.</w:t>
      </w:r>
      <w:r w:rsidR="0057690E">
        <w:rPr>
          <w:rFonts w:ascii="Times New Roman" w:hAnsi="Times New Roman" w:cs="Times New Roman"/>
          <w:i/>
          <w:sz w:val="24"/>
          <w:szCs w:val="24"/>
        </w:rPr>
        <w:t xml:space="preserve"> High Sch</w:t>
      </w:r>
      <w:r w:rsidR="00320779">
        <w:rPr>
          <w:rFonts w:ascii="Times New Roman" w:hAnsi="Times New Roman" w:cs="Times New Roman"/>
          <w:i/>
          <w:sz w:val="24"/>
          <w:szCs w:val="24"/>
        </w:rPr>
        <w:t>.</w:t>
      </w:r>
      <w:r w:rsidR="0057690E">
        <w:rPr>
          <w:rFonts w:ascii="Times New Roman" w:hAnsi="Times New Roman" w:cs="Times New Roman"/>
          <w:i/>
          <w:sz w:val="24"/>
          <w:szCs w:val="24"/>
        </w:rPr>
        <w:t xml:space="preserve"> Bd</w:t>
      </w:r>
      <w:r w:rsidR="00320779">
        <w:rPr>
          <w:rFonts w:ascii="Times New Roman" w:hAnsi="Times New Roman" w:cs="Times New Roman"/>
          <w:i/>
          <w:sz w:val="24"/>
          <w:szCs w:val="24"/>
        </w:rPr>
        <w:t>.</w:t>
      </w:r>
      <w:r w:rsidR="0057690E">
        <w:rPr>
          <w:rFonts w:ascii="Times New Roman" w:hAnsi="Times New Roman" w:cs="Times New Roman"/>
          <w:i/>
          <w:sz w:val="24"/>
          <w:szCs w:val="24"/>
        </w:rPr>
        <w:t xml:space="preserve"> of Ed</w:t>
      </w:r>
      <w:r w:rsidR="00320779">
        <w:rPr>
          <w:rFonts w:ascii="Times New Roman" w:hAnsi="Times New Roman" w:cs="Times New Roman"/>
          <w:i/>
          <w:sz w:val="24"/>
          <w:szCs w:val="24"/>
        </w:rPr>
        <w:t>.</w:t>
      </w:r>
      <w:r w:rsidR="0057690E">
        <w:rPr>
          <w:rStyle w:val="FootnoteReference"/>
          <w:rFonts w:cs="Times New Roman"/>
          <w:sz w:val="24"/>
          <w:szCs w:val="24"/>
        </w:rPr>
        <w:footnoteReference w:id="62"/>
      </w:r>
      <w:r w:rsidR="0057690E">
        <w:rPr>
          <w:rFonts w:ascii="Times New Roman" w:hAnsi="Times New Roman" w:cs="Times New Roman"/>
          <w:sz w:val="24"/>
          <w:szCs w:val="24"/>
        </w:rPr>
        <w:t xml:space="preserve"> </w:t>
      </w:r>
      <w:r>
        <w:rPr>
          <w:rFonts w:ascii="Times New Roman" w:hAnsi="Times New Roman" w:cs="Times New Roman"/>
          <w:sz w:val="24"/>
          <w:szCs w:val="24"/>
        </w:rPr>
        <w:t xml:space="preserve">In addition, </w:t>
      </w:r>
      <w:r w:rsidR="00103176">
        <w:rPr>
          <w:rFonts w:ascii="Times New Roman" w:hAnsi="Times New Roman" w:cs="Times New Roman"/>
          <w:sz w:val="24"/>
          <w:szCs w:val="24"/>
        </w:rPr>
        <w:t xml:space="preserve">the bills </w:t>
      </w:r>
      <w:r>
        <w:rPr>
          <w:rFonts w:ascii="Times New Roman" w:hAnsi="Times New Roman" w:cs="Times New Roman"/>
          <w:sz w:val="24"/>
          <w:szCs w:val="24"/>
        </w:rPr>
        <w:t xml:space="preserve">significantly </w:t>
      </w:r>
      <w:r w:rsidR="0057690E">
        <w:rPr>
          <w:rFonts w:ascii="Times New Roman" w:hAnsi="Times New Roman" w:cs="Times New Roman"/>
          <w:sz w:val="24"/>
          <w:szCs w:val="24"/>
        </w:rPr>
        <w:t xml:space="preserve">expand </w:t>
      </w:r>
      <w:r w:rsidR="00320779">
        <w:rPr>
          <w:rFonts w:ascii="Times New Roman" w:hAnsi="Times New Roman" w:cs="Times New Roman"/>
          <w:sz w:val="24"/>
          <w:szCs w:val="24"/>
        </w:rPr>
        <w:t xml:space="preserve">the number of individuals </w:t>
      </w:r>
      <w:r>
        <w:rPr>
          <w:rFonts w:ascii="Times New Roman" w:hAnsi="Times New Roman" w:cs="Times New Roman"/>
          <w:sz w:val="24"/>
          <w:szCs w:val="24"/>
        </w:rPr>
        <w:t xml:space="preserve">who will be </w:t>
      </w:r>
      <w:r w:rsidR="0057690E">
        <w:rPr>
          <w:rFonts w:ascii="Times New Roman" w:hAnsi="Times New Roman" w:cs="Times New Roman"/>
          <w:sz w:val="24"/>
          <w:szCs w:val="24"/>
        </w:rPr>
        <w:t xml:space="preserve">required to receive </w:t>
      </w:r>
      <w:r>
        <w:rPr>
          <w:rFonts w:ascii="Times New Roman" w:hAnsi="Times New Roman" w:cs="Times New Roman"/>
          <w:i/>
          <w:sz w:val="24"/>
          <w:szCs w:val="24"/>
        </w:rPr>
        <w:t xml:space="preserve">Rice </w:t>
      </w:r>
      <w:r w:rsidRPr="0097509B">
        <w:rPr>
          <w:rFonts w:ascii="Times New Roman" w:hAnsi="Times New Roman" w:cs="Times New Roman"/>
          <w:sz w:val="24"/>
          <w:szCs w:val="24"/>
        </w:rPr>
        <w:t>notices.</w:t>
      </w:r>
      <w:r w:rsidR="00D04864">
        <w:rPr>
          <w:rFonts w:ascii="Times New Roman" w:eastAsia="Times New Roman" w:hAnsi="Times New Roman" w:cs="Times New Roman"/>
          <w:color w:val="212121"/>
          <w:sz w:val="24"/>
          <w:szCs w:val="24"/>
          <w:shd w:val="clear" w:color="auto" w:fill="FFFFFF"/>
        </w:rPr>
        <w:t xml:space="preserve"> </w:t>
      </w:r>
    </w:p>
    <w:p w:rsidR="005B2456" w:rsidRDefault="005B2456"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57690E" w:rsidRDefault="00103176"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sidRPr="00103176">
        <w:rPr>
          <w:rFonts w:ascii="Times New Roman" w:eastAsia="Times New Roman" w:hAnsi="Times New Roman" w:cs="Times New Roman"/>
          <w:color w:val="212121"/>
          <w:sz w:val="24"/>
          <w:szCs w:val="24"/>
          <w:shd w:val="clear" w:color="auto" w:fill="FFFFFF"/>
        </w:rPr>
        <w:t>S106 and A1019</w:t>
      </w:r>
      <w:r w:rsidR="0057690E">
        <w:rPr>
          <w:rFonts w:ascii="Times New Roman" w:eastAsia="Times New Roman" w:hAnsi="Times New Roman" w:cs="Times New Roman"/>
          <w:color w:val="212121"/>
          <w:sz w:val="24"/>
          <w:szCs w:val="24"/>
          <w:shd w:val="clear" w:color="auto" w:fill="FFFFFF"/>
        </w:rPr>
        <w:t xml:space="preserve"> </w:t>
      </w:r>
      <w:r w:rsidR="00A77CE0">
        <w:rPr>
          <w:rFonts w:ascii="Times New Roman" w:eastAsia="Times New Roman" w:hAnsi="Times New Roman" w:cs="Times New Roman"/>
          <w:color w:val="212121"/>
          <w:sz w:val="24"/>
          <w:szCs w:val="24"/>
          <w:shd w:val="clear" w:color="auto" w:fill="FFFFFF"/>
        </w:rPr>
        <w:t>do</w:t>
      </w:r>
      <w:r w:rsidR="004B132F">
        <w:rPr>
          <w:rFonts w:ascii="Times New Roman" w:eastAsia="Times New Roman" w:hAnsi="Times New Roman" w:cs="Times New Roman"/>
          <w:color w:val="212121"/>
          <w:sz w:val="24"/>
          <w:szCs w:val="24"/>
          <w:shd w:val="clear" w:color="auto" w:fill="FFFFFF"/>
        </w:rPr>
        <w:t xml:space="preserve"> not alter the authority of a</w:t>
      </w:r>
      <w:r w:rsidR="0057690E">
        <w:rPr>
          <w:rFonts w:ascii="Times New Roman" w:eastAsia="Times New Roman" w:hAnsi="Times New Roman" w:cs="Times New Roman"/>
          <w:color w:val="212121"/>
          <w:sz w:val="24"/>
          <w:szCs w:val="24"/>
          <w:shd w:val="clear" w:color="auto" w:fill="FFFFFF"/>
        </w:rPr>
        <w:t xml:space="preserve"> public body to enter into a closed session to discuss </w:t>
      </w:r>
      <w:r w:rsidR="00F47B01">
        <w:rPr>
          <w:rFonts w:ascii="Times New Roman" w:eastAsia="Times New Roman" w:hAnsi="Times New Roman" w:cs="Times New Roman"/>
          <w:color w:val="212121"/>
          <w:sz w:val="24"/>
          <w:szCs w:val="24"/>
          <w:shd w:val="clear" w:color="auto" w:fill="FFFFFF"/>
        </w:rPr>
        <w:t>any of the topics enumerated in N.J.S. 10:4-12(b)</w:t>
      </w:r>
      <w:r w:rsidR="000E1A41">
        <w:rPr>
          <w:rFonts w:ascii="Times New Roman" w:eastAsia="Times New Roman" w:hAnsi="Times New Roman" w:cs="Times New Roman"/>
          <w:color w:val="212121"/>
          <w:sz w:val="24"/>
          <w:szCs w:val="24"/>
          <w:shd w:val="clear" w:color="auto" w:fill="FFFFFF"/>
        </w:rPr>
        <w:t>(1)-(9)</w:t>
      </w:r>
      <w:r w:rsidR="0057690E">
        <w:rPr>
          <w:rFonts w:ascii="Times New Roman" w:eastAsia="Times New Roman" w:hAnsi="Times New Roman" w:cs="Times New Roman"/>
          <w:color w:val="212121"/>
          <w:sz w:val="24"/>
          <w:szCs w:val="24"/>
          <w:shd w:val="clear" w:color="auto" w:fill="FFFFFF"/>
        </w:rPr>
        <w:t>.</w:t>
      </w:r>
      <w:r w:rsidR="000E1A41">
        <w:rPr>
          <w:rFonts w:ascii="Times New Roman" w:eastAsia="Times New Roman" w:hAnsi="Times New Roman" w:cs="Times New Roman"/>
          <w:color w:val="212121"/>
          <w:sz w:val="24"/>
          <w:szCs w:val="24"/>
          <w:shd w:val="clear" w:color="auto" w:fill="FFFFFF"/>
        </w:rPr>
        <w:t xml:space="preserve"> </w:t>
      </w:r>
      <w:r w:rsidR="0097509B">
        <w:rPr>
          <w:rFonts w:ascii="Times New Roman" w:eastAsia="Times New Roman" w:hAnsi="Times New Roman" w:cs="Times New Roman"/>
          <w:color w:val="212121"/>
          <w:sz w:val="24"/>
          <w:szCs w:val="24"/>
          <w:shd w:val="clear" w:color="auto" w:fill="FFFFFF"/>
        </w:rPr>
        <w:t xml:space="preserve">Discussions of employment related matters may still be discussed by </w:t>
      </w:r>
      <w:r w:rsidR="00A77CE0">
        <w:rPr>
          <w:rFonts w:ascii="Times New Roman" w:eastAsia="Times New Roman" w:hAnsi="Times New Roman" w:cs="Times New Roman"/>
          <w:color w:val="212121"/>
          <w:sz w:val="24"/>
          <w:szCs w:val="24"/>
          <w:shd w:val="clear" w:color="auto" w:fill="FFFFFF"/>
        </w:rPr>
        <w:t xml:space="preserve">a public body during a closed session, pursuant to </w:t>
      </w:r>
      <w:r w:rsidR="00AE66EC">
        <w:rPr>
          <w:rFonts w:ascii="Times New Roman" w:eastAsia="Times New Roman" w:hAnsi="Times New Roman" w:cs="Times New Roman"/>
          <w:color w:val="212121"/>
          <w:sz w:val="24"/>
          <w:szCs w:val="24"/>
          <w:shd w:val="clear" w:color="auto" w:fill="FFFFFF"/>
        </w:rPr>
        <w:t>N.J.S. 10:4-12(b</w:t>
      </w:r>
      <w:proofErr w:type="gramStart"/>
      <w:r w:rsidR="00AE66EC">
        <w:rPr>
          <w:rFonts w:ascii="Times New Roman" w:eastAsia="Times New Roman" w:hAnsi="Times New Roman" w:cs="Times New Roman"/>
          <w:color w:val="212121"/>
          <w:sz w:val="24"/>
          <w:szCs w:val="24"/>
          <w:shd w:val="clear" w:color="auto" w:fill="FFFFFF"/>
        </w:rPr>
        <w:t>)(</w:t>
      </w:r>
      <w:proofErr w:type="gramEnd"/>
      <w:r w:rsidR="00AE66EC">
        <w:rPr>
          <w:rFonts w:ascii="Times New Roman" w:eastAsia="Times New Roman" w:hAnsi="Times New Roman" w:cs="Times New Roman"/>
          <w:color w:val="212121"/>
          <w:sz w:val="24"/>
          <w:szCs w:val="24"/>
          <w:shd w:val="clear" w:color="auto" w:fill="FFFFFF"/>
        </w:rPr>
        <w:t>8)</w:t>
      </w:r>
      <w:r w:rsidR="00A77CE0">
        <w:rPr>
          <w:rFonts w:ascii="Times New Roman" w:eastAsia="Times New Roman" w:hAnsi="Times New Roman" w:cs="Times New Roman"/>
          <w:color w:val="212121"/>
          <w:sz w:val="24"/>
          <w:szCs w:val="24"/>
          <w:shd w:val="clear" w:color="auto" w:fill="FFFFFF"/>
        </w:rPr>
        <w:t xml:space="preserve">. </w:t>
      </w:r>
      <w:r w:rsidR="005665A4">
        <w:rPr>
          <w:rFonts w:ascii="Times New Roman" w:eastAsia="Times New Roman" w:hAnsi="Times New Roman" w:cs="Times New Roman"/>
          <w:color w:val="212121"/>
          <w:sz w:val="24"/>
          <w:szCs w:val="24"/>
          <w:shd w:val="clear" w:color="auto" w:fill="FFFFFF"/>
        </w:rPr>
        <w:t>T</w:t>
      </w:r>
      <w:r w:rsidR="00AE66EC">
        <w:rPr>
          <w:rFonts w:ascii="Times New Roman" w:eastAsia="Times New Roman" w:hAnsi="Times New Roman" w:cs="Times New Roman"/>
          <w:color w:val="212121"/>
          <w:sz w:val="24"/>
          <w:szCs w:val="24"/>
          <w:shd w:val="clear" w:color="auto" w:fill="FFFFFF"/>
        </w:rPr>
        <w:t xml:space="preserve">he </w:t>
      </w:r>
      <w:r>
        <w:rPr>
          <w:rFonts w:ascii="Times New Roman" w:eastAsia="Times New Roman" w:hAnsi="Times New Roman" w:cs="Times New Roman"/>
          <w:color w:val="212121"/>
          <w:sz w:val="24"/>
          <w:szCs w:val="24"/>
          <w:shd w:val="clear" w:color="auto" w:fill="FFFFFF"/>
        </w:rPr>
        <w:t>bills do</w:t>
      </w:r>
      <w:r w:rsidR="00AE66EC">
        <w:rPr>
          <w:rFonts w:ascii="Times New Roman" w:eastAsia="Times New Roman" w:hAnsi="Times New Roman" w:cs="Times New Roman"/>
          <w:color w:val="212121"/>
          <w:sz w:val="24"/>
          <w:szCs w:val="24"/>
          <w:shd w:val="clear" w:color="auto" w:fill="FFFFFF"/>
        </w:rPr>
        <w:t xml:space="preserve"> provide that a public body may exclude the public to discuss any: </w:t>
      </w:r>
    </w:p>
    <w:p w:rsidR="00AE66EC" w:rsidRDefault="00AE66EC" w:rsidP="008527A7">
      <w:pPr>
        <w:spacing w:line="276" w:lineRule="auto"/>
        <w:jc w:val="both"/>
        <w:rPr>
          <w:rFonts w:ascii="Times New Roman" w:eastAsia="Times New Roman" w:hAnsi="Times New Roman" w:cs="Times New Roman"/>
          <w:color w:val="212121"/>
          <w:sz w:val="24"/>
          <w:szCs w:val="24"/>
          <w:shd w:val="clear" w:color="auto" w:fill="FFFFFF"/>
        </w:rPr>
      </w:pPr>
    </w:p>
    <w:p w:rsidR="00AE66EC" w:rsidRDefault="00AE66EC" w:rsidP="008527A7">
      <w:pPr>
        <w:spacing w:line="276" w:lineRule="auto"/>
        <w:ind w:left="720" w:right="810"/>
        <w:jc w:val="both"/>
        <w:rPr>
          <w:rFonts w:ascii="Times New Roman" w:eastAsia="Times New Roman" w:hAnsi="Times New Roman" w:cs="Times New Roman"/>
          <w:color w:val="212121"/>
          <w:sz w:val="24"/>
          <w:szCs w:val="24"/>
          <w:shd w:val="clear" w:color="auto" w:fill="FFFFFF"/>
        </w:rPr>
      </w:pPr>
      <w:r w:rsidRPr="00AE66EC">
        <w:rPr>
          <w:rFonts w:ascii="Times New Roman" w:eastAsia="Times New Roman" w:hAnsi="Times New Roman" w:cs="Times New Roman"/>
          <w:color w:val="212121"/>
          <w:sz w:val="24"/>
          <w:szCs w:val="24"/>
          <w:shd w:val="clear" w:color="auto" w:fill="FFFFFF"/>
        </w:rPr>
        <w:t xml:space="preserve">matter involving the employment, appointment, termination of employment, [terms and conditions of employment,] evaluation of the performance of, promotion, or disciplining of any specific [prospective public officer or employee or current] public officer or employee, </w:t>
      </w:r>
      <w:r w:rsidRPr="00CC2228">
        <w:rPr>
          <w:rFonts w:ascii="Times New Roman" w:eastAsia="Times New Roman" w:hAnsi="Times New Roman" w:cs="Times New Roman"/>
          <w:color w:val="212121"/>
          <w:sz w:val="24"/>
          <w:szCs w:val="24"/>
          <w:u w:val="single"/>
          <w:shd w:val="clear" w:color="auto" w:fill="FFFFFF"/>
        </w:rPr>
        <w:t>prospective or current</w:t>
      </w:r>
      <w:r w:rsidRPr="00AE66EC">
        <w:rPr>
          <w:rFonts w:ascii="Times New Roman" w:eastAsia="Times New Roman" w:hAnsi="Times New Roman" w:cs="Times New Roman"/>
          <w:color w:val="212121"/>
          <w:sz w:val="24"/>
          <w:szCs w:val="24"/>
          <w:shd w:val="clear" w:color="auto" w:fill="FFFFFF"/>
        </w:rPr>
        <w:t xml:space="preserve">, employed or appointed by the public body [, unless all the individual employees or appointees whose rights could be adversely affected request in writing that the matter or matters be discussed at a public meeting].  </w:t>
      </w:r>
    </w:p>
    <w:p w:rsidR="00CC2228" w:rsidRDefault="00CC2228" w:rsidP="008527A7">
      <w:pPr>
        <w:spacing w:line="276" w:lineRule="auto"/>
        <w:ind w:left="1440" w:right="1440"/>
        <w:jc w:val="both"/>
        <w:rPr>
          <w:rFonts w:ascii="Times New Roman" w:eastAsia="Times New Roman" w:hAnsi="Times New Roman" w:cs="Times New Roman"/>
          <w:color w:val="212121"/>
          <w:sz w:val="24"/>
          <w:szCs w:val="24"/>
          <w:shd w:val="clear" w:color="auto" w:fill="FFFFFF"/>
        </w:rPr>
      </w:pPr>
    </w:p>
    <w:p w:rsidR="00AE66EC" w:rsidRDefault="00CC2228" w:rsidP="008527A7">
      <w:pPr>
        <w:spacing w:line="276" w:lineRule="auto"/>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With respect to the </w:t>
      </w:r>
      <w:r w:rsidR="005665A4">
        <w:rPr>
          <w:rFonts w:ascii="Times New Roman" w:eastAsia="Times New Roman" w:hAnsi="Times New Roman" w:cs="Times New Roman"/>
          <w:color w:val="212121"/>
          <w:sz w:val="24"/>
          <w:szCs w:val="24"/>
          <w:shd w:val="clear" w:color="auto" w:fill="FFFFFF"/>
        </w:rPr>
        <w:t xml:space="preserve">type of </w:t>
      </w:r>
      <w:r>
        <w:rPr>
          <w:rFonts w:ascii="Times New Roman" w:eastAsia="Times New Roman" w:hAnsi="Times New Roman" w:cs="Times New Roman"/>
          <w:color w:val="212121"/>
          <w:sz w:val="24"/>
          <w:szCs w:val="24"/>
          <w:shd w:val="clear" w:color="auto" w:fill="FFFFFF"/>
        </w:rPr>
        <w:t xml:space="preserve">notice required for a public body to discuss the aforementioned </w:t>
      </w:r>
      <w:r w:rsidR="006F5885">
        <w:rPr>
          <w:rFonts w:ascii="Times New Roman" w:eastAsia="Times New Roman" w:hAnsi="Times New Roman" w:cs="Times New Roman"/>
          <w:color w:val="212121"/>
          <w:sz w:val="24"/>
          <w:szCs w:val="24"/>
          <w:shd w:val="clear" w:color="auto" w:fill="FFFFFF"/>
        </w:rPr>
        <w:t xml:space="preserve">topics </w:t>
      </w:r>
      <w:r>
        <w:rPr>
          <w:rFonts w:ascii="Times New Roman" w:eastAsia="Times New Roman" w:hAnsi="Times New Roman" w:cs="Times New Roman"/>
          <w:color w:val="212121"/>
          <w:sz w:val="24"/>
          <w:szCs w:val="24"/>
          <w:shd w:val="clear" w:color="auto" w:fill="FFFFFF"/>
        </w:rPr>
        <w:t xml:space="preserve">during a closed session, </w:t>
      </w:r>
      <w:r w:rsidR="005665A4">
        <w:rPr>
          <w:rFonts w:ascii="Times New Roman" w:eastAsia="Times New Roman" w:hAnsi="Times New Roman" w:cs="Times New Roman"/>
          <w:color w:val="212121"/>
          <w:sz w:val="24"/>
          <w:szCs w:val="24"/>
          <w:shd w:val="clear" w:color="auto" w:fill="FFFFFF"/>
        </w:rPr>
        <w:t>S106 and A1019 provide</w:t>
      </w:r>
      <w:r>
        <w:rPr>
          <w:rFonts w:ascii="Times New Roman" w:eastAsia="Times New Roman" w:hAnsi="Times New Roman" w:cs="Times New Roman"/>
          <w:color w:val="212121"/>
          <w:sz w:val="24"/>
          <w:szCs w:val="24"/>
          <w:shd w:val="clear" w:color="auto" w:fill="FFFFFF"/>
        </w:rPr>
        <w:t>:</w:t>
      </w:r>
    </w:p>
    <w:p w:rsidR="00CC2228" w:rsidRDefault="00CC2228" w:rsidP="008527A7">
      <w:pPr>
        <w:spacing w:line="276" w:lineRule="auto"/>
        <w:jc w:val="both"/>
        <w:rPr>
          <w:rFonts w:ascii="Times New Roman" w:eastAsia="Times New Roman" w:hAnsi="Times New Roman" w:cs="Times New Roman"/>
          <w:color w:val="212121"/>
          <w:sz w:val="24"/>
          <w:szCs w:val="24"/>
          <w:shd w:val="clear" w:color="auto" w:fill="FFFFFF"/>
        </w:rPr>
      </w:pPr>
    </w:p>
    <w:p w:rsidR="00CC2228" w:rsidRDefault="00CC2228" w:rsidP="008527A7">
      <w:pPr>
        <w:spacing w:line="276" w:lineRule="auto"/>
        <w:ind w:left="720" w:right="720"/>
        <w:jc w:val="both"/>
        <w:rPr>
          <w:rFonts w:ascii="Times New Roman" w:eastAsia="Times New Roman" w:hAnsi="Times New Roman" w:cs="Times New Roman"/>
          <w:color w:val="212121"/>
          <w:sz w:val="24"/>
          <w:szCs w:val="24"/>
          <w:u w:val="single"/>
          <w:shd w:val="clear" w:color="auto" w:fill="FFFFFF"/>
        </w:rPr>
      </w:pPr>
      <w:r w:rsidRPr="00CC2228">
        <w:rPr>
          <w:rFonts w:ascii="Times New Roman" w:eastAsia="Times New Roman" w:hAnsi="Times New Roman" w:cs="Times New Roman"/>
          <w:color w:val="212121"/>
          <w:sz w:val="24"/>
          <w:szCs w:val="24"/>
          <w:u w:val="single"/>
          <w:shd w:val="clear" w:color="auto" w:fill="FFFFFF"/>
        </w:rPr>
        <w:t xml:space="preserve">Public bodies shall give written notice of at least two business days to any officer or employee, </w:t>
      </w:r>
      <w:r w:rsidRPr="006F5885">
        <w:rPr>
          <w:rFonts w:ascii="Times New Roman" w:eastAsia="Times New Roman" w:hAnsi="Times New Roman" w:cs="Times New Roman"/>
          <w:color w:val="212121"/>
          <w:sz w:val="24"/>
          <w:szCs w:val="24"/>
          <w:u w:val="single"/>
          <w:shd w:val="clear" w:color="auto" w:fill="FFFFFF"/>
        </w:rPr>
        <w:t>and</w:t>
      </w:r>
      <w:r w:rsidRPr="00CC2228">
        <w:rPr>
          <w:rFonts w:ascii="Times New Roman" w:eastAsia="Times New Roman" w:hAnsi="Times New Roman" w:cs="Times New Roman"/>
          <w:color w:val="212121"/>
          <w:sz w:val="24"/>
          <w:szCs w:val="24"/>
          <w:u w:val="single"/>
          <w:shd w:val="clear" w:color="auto" w:fill="FFFFFF"/>
        </w:rPr>
        <w:t xml:space="preserve"> any adversely affected individual or individuals, in advance of any proposed meeting at which his or her employment, appointment, termination, evaluation of the performance of, promotion or discipline may be discussed.  </w:t>
      </w:r>
    </w:p>
    <w:p w:rsidR="00A77CE0" w:rsidRDefault="00A77CE0" w:rsidP="008527A7">
      <w:pPr>
        <w:spacing w:line="276" w:lineRule="auto"/>
        <w:ind w:left="1440" w:right="1440"/>
        <w:jc w:val="both"/>
        <w:rPr>
          <w:rFonts w:ascii="Times New Roman" w:eastAsia="Times New Roman" w:hAnsi="Times New Roman" w:cs="Times New Roman"/>
          <w:color w:val="212121"/>
          <w:sz w:val="24"/>
          <w:szCs w:val="24"/>
          <w:u w:val="single"/>
          <w:shd w:val="clear" w:color="auto" w:fill="FFFFFF"/>
        </w:rPr>
      </w:pPr>
    </w:p>
    <w:p w:rsidR="00A77CE0" w:rsidRDefault="00462CBC" w:rsidP="008527A7">
      <w:pPr>
        <w:spacing w:line="276" w:lineRule="auto"/>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This modification to the statute eliminates the ambiguity of what is </w:t>
      </w:r>
      <w:r w:rsidR="005665A4">
        <w:rPr>
          <w:rFonts w:ascii="Times New Roman" w:eastAsia="Times New Roman" w:hAnsi="Times New Roman" w:cs="Times New Roman"/>
          <w:color w:val="212121"/>
          <w:sz w:val="24"/>
          <w:szCs w:val="24"/>
          <w:shd w:val="clear" w:color="auto" w:fill="FFFFFF"/>
        </w:rPr>
        <w:t xml:space="preserve">considered to be </w:t>
      </w:r>
      <w:r>
        <w:rPr>
          <w:rFonts w:ascii="Times New Roman" w:eastAsia="Times New Roman" w:hAnsi="Times New Roman" w:cs="Times New Roman"/>
          <w:color w:val="212121"/>
          <w:sz w:val="24"/>
          <w:szCs w:val="24"/>
          <w:shd w:val="clear" w:color="auto" w:fill="FFFFFF"/>
        </w:rPr>
        <w:t xml:space="preserve">“reasonable notice” </w:t>
      </w:r>
      <w:r w:rsidR="0073299C">
        <w:rPr>
          <w:rFonts w:ascii="Times New Roman" w:eastAsia="Times New Roman" w:hAnsi="Times New Roman" w:cs="Times New Roman"/>
          <w:color w:val="212121"/>
          <w:sz w:val="24"/>
          <w:szCs w:val="24"/>
          <w:shd w:val="clear" w:color="auto" w:fill="FFFFFF"/>
        </w:rPr>
        <w:t xml:space="preserve">and clearly sets forth </w:t>
      </w:r>
      <w:r>
        <w:rPr>
          <w:rFonts w:ascii="Times New Roman" w:eastAsia="Times New Roman" w:hAnsi="Times New Roman" w:cs="Times New Roman"/>
          <w:color w:val="212121"/>
          <w:sz w:val="24"/>
          <w:szCs w:val="24"/>
          <w:shd w:val="clear" w:color="auto" w:fill="FFFFFF"/>
        </w:rPr>
        <w:t xml:space="preserve">a specific timeframe within which a public body must </w:t>
      </w:r>
      <w:r w:rsidR="00A77CE0">
        <w:rPr>
          <w:rFonts w:ascii="Times New Roman" w:eastAsia="Times New Roman" w:hAnsi="Times New Roman" w:cs="Times New Roman"/>
          <w:color w:val="212121"/>
          <w:sz w:val="24"/>
          <w:szCs w:val="24"/>
          <w:shd w:val="clear" w:color="auto" w:fill="FFFFFF"/>
        </w:rPr>
        <w:t xml:space="preserve">give notice to individuals who may be the subject of personnel discussions. </w:t>
      </w:r>
    </w:p>
    <w:p w:rsidR="005B2456" w:rsidRDefault="005B2456" w:rsidP="008527A7">
      <w:pPr>
        <w:spacing w:line="276" w:lineRule="auto"/>
        <w:jc w:val="both"/>
        <w:rPr>
          <w:rFonts w:ascii="Times New Roman" w:eastAsia="Times New Roman" w:hAnsi="Times New Roman" w:cs="Times New Roman"/>
          <w:color w:val="212121"/>
          <w:sz w:val="24"/>
          <w:szCs w:val="24"/>
          <w:shd w:val="clear" w:color="auto" w:fill="FFFFFF"/>
        </w:rPr>
      </w:pPr>
    </w:p>
    <w:p w:rsidR="001C3E21" w:rsidRDefault="00A77CE0"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Currently, </w:t>
      </w:r>
      <w:r w:rsidR="00114ABD">
        <w:rPr>
          <w:rFonts w:ascii="Times New Roman" w:eastAsia="Times New Roman" w:hAnsi="Times New Roman" w:cs="Times New Roman"/>
          <w:color w:val="212121"/>
          <w:sz w:val="24"/>
          <w:szCs w:val="24"/>
          <w:shd w:val="clear" w:color="auto" w:fill="FFFFFF"/>
        </w:rPr>
        <w:t xml:space="preserve">public body </w:t>
      </w:r>
      <w:r w:rsidR="005665A4">
        <w:rPr>
          <w:rFonts w:ascii="Times New Roman" w:eastAsia="Times New Roman" w:hAnsi="Times New Roman" w:cs="Times New Roman"/>
          <w:color w:val="212121"/>
          <w:sz w:val="24"/>
          <w:szCs w:val="24"/>
          <w:shd w:val="clear" w:color="auto" w:fill="FFFFFF"/>
        </w:rPr>
        <w:t xml:space="preserve">is required to provide an </w:t>
      </w:r>
      <w:r>
        <w:rPr>
          <w:rFonts w:ascii="Times New Roman" w:eastAsia="Times New Roman" w:hAnsi="Times New Roman" w:cs="Times New Roman"/>
          <w:color w:val="212121"/>
          <w:sz w:val="24"/>
          <w:szCs w:val="24"/>
          <w:shd w:val="clear" w:color="auto" w:fill="FFFFFF"/>
        </w:rPr>
        <w:t xml:space="preserve">employee </w:t>
      </w:r>
      <w:r w:rsidR="005665A4">
        <w:rPr>
          <w:rFonts w:ascii="Times New Roman" w:eastAsia="Times New Roman" w:hAnsi="Times New Roman" w:cs="Times New Roman"/>
          <w:color w:val="212121"/>
          <w:sz w:val="24"/>
          <w:szCs w:val="24"/>
          <w:shd w:val="clear" w:color="auto" w:fill="FFFFFF"/>
        </w:rPr>
        <w:t xml:space="preserve">with </w:t>
      </w:r>
      <w:r>
        <w:rPr>
          <w:rFonts w:ascii="Times New Roman" w:eastAsia="Times New Roman" w:hAnsi="Times New Roman" w:cs="Times New Roman"/>
          <w:color w:val="212121"/>
          <w:sz w:val="24"/>
          <w:szCs w:val="24"/>
          <w:shd w:val="clear" w:color="auto" w:fill="FFFFFF"/>
        </w:rPr>
        <w:t xml:space="preserve">“reasonable notice” only when </w:t>
      </w:r>
      <w:r w:rsidR="00114ABD">
        <w:rPr>
          <w:rFonts w:ascii="Times New Roman" w:eastAsia="Times New Roman" w:hAnsi="Times New Roman" w:cs="Times New Roman"/>
          <w:color w:val="212121"/>
          <w:sz w:val="24"/>
          <w:szCs w:val="24"/>
          <w:shd w:val="clear" w:color="auto" w:fill="FFFFFF"/>
        </w:rPr>
        <w:t xml:space="preserve">it </w:t>
      </w:r>
      <w:r>
        <w:rPr>
          <w:rFonts w:ascii="Times New Roman" w:eastAsia="Times New Roman" w:hAnsi="Times New Roman" w:cs="Times New Roman"/>
          <w:color w:val="212121"/>
          <w:sz w:val="24"/>
          <w:szCs w:val="24"/>
          <w:shd w:val="clear" w:color="auto" w:fill="FFFFFF"/>
        </w:rPr>
        <w:t>intends to consider taking adverse employment action related to them</w:t>
      </w:r>
      <w:r w:rsidR="004B132F">
        <w:rPr>
          <w:rFonts w:ascii="Times New Roman" w:eastAsia="Times New Roman" w:hAnsi="Times New Roman" w:cs="Times New Roman"/>
          <w:color w:val="212121"/>
          <w:sz w:val="24"/>
          <w:szCs w:val="24"/>
          <w:shd w:val="clear" w:color="auto" w:fill="FFFFFF"/>
        </w:rPr>
        <w:t xml:space="preserve"> during a closed session</w:t>
      </w:r>
      <w:r>
        <w:rPr>
          <w:rFonts w:ascii="Times New Roman" w:eastAsia="Times New Roman" w:hAnsi="Times New Roman" w:cs="Times New Roman"/>
          <w:color w:val="212121"/>
          <w:sz w:val="24"/>
          <w:szCs w:val="24"/>
          <w:shd w:val="clear" w:color="auto" w:fill="FFFFFF"/>
        </w:rPr>
        <w:t>.</w:t>
      </w:r>
      <w:r>
        <w:rPr>
          <w:rStyle w:val="FootnoteReference"/>
          <w:rFonts w:eastAsia="Times New Roman" w:cs="Times New Roman"/>
          <w:color w:val="212121"/>
          <w:sz w:val="24"/>
          <w:szCs w:val="24"/>
          <w:shd w:val="clear" w:color="auto" w:fill="FFFFFF"/>
        </w:rPr>
        <w:footnoteReference w:id="63"/>
      </w:r>
      <w:r>
        <w:rPr>
          <w:rFonts w:ascii="Times New Roman" w:eastAsia="Times New Roman" w:hAnsi="Times New Roman" w:cs="Times New Roman"/>
          <w:color w:val="212121"/>
          <w:sz w:val="24"/>
          <w:szCs w:val="24"/>
          <w:shd w:val="clear" w:color="auto" w:fill="FFFFFF"/>
        </w:rPr>
        <w:t xml:space="preserve"> </w:t>
      </w:r>
      <w:r w:rsidR="00114ABD">
        <w:rPr>
          <w:rFonts w:ascii="Times New Roman" w:eastAsia="Times New Roman" w:hAnsi="Times New Roman" w:cs="Times New Roman"/>
          <w:color w:val="212121"/>
          <w:sz w:val="24"/>
          <w:szCs w:val="24"/>
          <w:shd w:val="clear" w:color="auto" w:fill="FFFFFF"/>
        </w:rPr>
        <w:t>T</w:t>
      </w:r>
      <w:r w:rsidR="0073299C">
        <w:rPr>
          <w:rFonts w:ascii="Times New Roman" w:eastAsia="Times New Roman" w:hAnsi="Times New Roman" w:cs="Times New Roman"/>
          <w:color w:val="212121"/>
          <w:sz w:val="24"/>
          <w:szCs w:val="24"/>
          <w:shd w:val="clear" w:color="auto" w:fill="FFFFFF"/>
        </w:rPr>
        <w:t>he propos</w:t>
      </w:r>
      <w:r w:rsidR="00103176">
        <w:rPr>
          <w:rFonts w:ascii="Times New Roman" w:eastAsia="Times New Roman" w:hAnsi="Times New Roman" w:cs="Times New Roman"/>
          <w:color w:val="212121"/>
          <w:sz w:val="24"/>
          <w:szCs w:val="24"/>
          <w:shd w:val="clear" w:color="auto" w:fill="FFFFFF"/>
        </w:rPr>
        <w:t>als</w:t>
      </w:r>
      <w:r w:rsidR="0073299C">
        <w:rPr>
          <w:rFonts w:ascii="Times New Roman" w:eastAsia="Times New Roman" w:hAnsi="Times New Roman" w:cs="Times New Roman"/>
          <w:color w:val="212121"/>
          <w:sz w:val="24"/>
          <w:szCs w:val="24"/>
          <w:shd w:val="clear" w:color="auto" w:fill="FFFFFF"/>
        </w:rPr>
        <w:t xml:space="preserve"> </w:t>
      </w:r>
      <w:r w:rsidR="005665A4">
        <w:rPr>
          <w:rFonts w:ascii="Times New Roman" w:eastAsia="Times New Roman" w:hAnsi="Times New Roman" w:cs="Times New Roman"/>
          <w:color w:val="212121"/>
          <w:sz w:val="24"/>
          <w:szCs w:val="24"/>
          <w:shd w:val="clear" w:color="auto" w:fill="FFFFFF"/>
        </w:rPr>
        <w:t xml:space="preserve">seek to </w:t>
      </w:r>
      <w:r w:rsidR="00114ABD">
        <w:rPr>
          <w:rFonts w:ascii="Times New Roman" w:eastAsia="Times New Roman" w:hAnsi="Times New Roman" w:cs="Times New Roman"/>
          <w:color w:val="212121"/>
          <w:sz w:val="24"/>
          <w:szCs w:val="24"/>
          <w:shd w:val="clear" w:color="auto" w:fill="FFFFFF"/>
        </w:rPr>
        <w:t xml:space="preserve">alter the current notice requirement. </w:t>
      </w:r>
      <w:r w:rsidR="0073299C">
        <w:rPr>
          <w:rFonts w:ascii="Times New Roman" w:eastAsia="Times New Roman" w:hAnsi="Times New Roman" w:cs="Times New Roman"/>
          <w:color w:val="212121"/>
          <w:sz w:val="24"/>
          <w:szCs w:val="24"/>
          <w:shd w:val="clear" w:color="auto" w:fill="FFFFFF"/>
        </w:rPr>
        <w:t xml:space="preserve">The </w:t>
      </w:r>
      <w:r w:rsidR="00103176">
        <w:rPr>
          <w:rFonts w:ascii="Times New Roman" w:eastAsia="Times New Roman" w:hAnsi="Times New Roman" w:cs="Times New Roman"/>
          <w:color w:val="212121"/>
          <w:sz w:val="24"/>
          <w:szCs w:val="24"/>
          <w:shd w:val="clear" w:color="auto" w:fill="FFFFFF"/>
        </w:rPr>
        <w:t xml:space="preserve">proposed language states that </w:t>
      </w:r>
      <w:r w:rsidR="00A25055">
        <w:rPr>
          <w:rFonts w:ascii="Times New Roman" w:eastAsia="Times New Roman" w:hAnsi="Times New Roman" w:cs="Times New Roman"/>
          <w:color w:val="212121"/>
          <w:sz w:val="24"/>
          <w:szCs w:val="24"/>
          <w:shd w:val="clear" w:color="auto" w:fill="FFFFFF"/>
        </w:rPr>
        <w:t xml:space="preserve">employees </w:t>
      </w:r>
      <w:r w:rsidR="00965932" w:rsidRPr="00D64562">
        <w:rPr>
          <w:rFonts w:ascii="Times New Roman" w:eastAsia="Times New Roman" w:hAnsi="Times New Roman" w:cs="Times New Roman"/>
          <w:b/>
          <w:color w:val="212121"/>
          <w:sz w:val="24"/>
          <w:szCs w:val="24"/>
          <w:shd w:val="clear" w:color="auto" w:fill="FFFFFF"/>
        </w:rPr>
        <w:t>and</w:t>
      </w:r>
      <w:r w:rsidR="00965932">
        <w:rPr>
          <w:rFonts w:ascii="Times New Roman" w:eastAsia="Times New Roman" w:hAnsi="Times New Roman" w:cs="Times New Roman"/>
          <w:color w:val="212121"/>
          <w:sz w:val="24"/>
          <w:szCs w:val="24"/>
          <w:shd w:val="clear" w:color="auto" w:fill="FFFFFF"/>
        </w:rPr>
        <w:t xml:space="preserve"> </w:t>
      </w:r>
      <w:r w:rsidR="00114ABD">
        <w:rPr>
          <w:rFonts w:ascii="Times New Roman" w:eastAsia="Times New Roman" w:hAnsi="Times New Roman" w:cs="Times New Roman"/>
          <w:color w:val="212121"/>
          <w:sz w:val="24"/>
          <w:szCs w:val="24"/>
          <w:shd w:val="clear" w:color="auto" w:fill="FFFFFF"/>
        </w:rPr>
        <w:t xml:space="preserve">every </w:t>
      </w:r>
      <w:r w:rsidR="00103176">
        <w:rPr>
          <w:rFonts w:ascii="Times New Roman" w:eastAsia="Times New Roman" w:hAnsi="Times New Roman" w:cs="Times New Roman"/>
          <w:color w:val="212121"/>
          <w:sz w:val="24"/>
          <w:szCs w:val="24"/>
          <w:shd w:val="clear" w:color="auto" w:fill="FFFFFF"/>
        </w:rPr>
        <w:t>“</w:t>
      </w:r>
      <w:r w:rsidR="00965932">
        <w:rPr>
          <w:rFonts w:ascii="Times New Roman" w:eastAsia="Times New Roman" w:hAnsi="Times New Roman" w:cs="Times New Roman"/>
          <w:color w:val="212121"/>
          <w:sz w:val="24"/>
          <w:szCs w:val="24"/>
          <w:shd w:val="clear" w:color="auto" w:fill="FFFFFF"/>
        </w:rPr>
        <w:t>adversely affected individual</w:t>
      </w:r>
      <w:r w:rsidR="00103176">
        <w:rPr>
          <w:rFonts w:ascii="Times New Roman" w:eastAsia="Times New Roman" w:hAnsi="Times New Roman" w:cs="Times New Roman"/>
          <w:color w:val="212121"/>
          <w:sz w:val="24"/>
          <w:szCs w:val="24"/>
          <w:shd w:val="clear" w:color="auto" w:fill="FFFFFF"/>
        </w:rPr>
        <w:t>”</w:t>
      </w:r>
      <w:r w:rsidR="00965932">
        <w:rPr>
          <w:rFonts w:ascii="Times New Roman" w:eastAsia="Times New Roman" w:hAnsi="Times New Roman" w:cs="Times New Roman"/>
          <w:color w:val="212121"/>
          <w:sz w:val="24"/>
          <w:szCs w:val="24"/>
          <w:shd w:val="clear" w:color="auto" w:fill="FFFFFF"/>
        </w:rPr>
        <w:t xml:space="preserve"> must be given notice of any proposed</w:t>
      </w:r>
      <w:bookmarkStart w:id="0" w:name="_GoBack"/>
      <w:bookmarkEnd w:id="0"/>
      <w:r w:rsidR="001C3E21">
        <w:rPr>
          <w:rFonts w:ascii="Times New Roman" w:eastAsia="Times New Roman" w:hAnsi="Times New Roman" w:cs="Times New Roman"/>
          <w:color w:val="212121"/>
          <w:sz w:val="24"/>
          <w:szCs w:val="24"/>
          <w:shd w:val="clear" w:color="auto" w:fill="FFFFFF"/>
        </w:rPr>
        <w:t>,</w:t>
      </w:r>
      <w:r w:rsidR="00965932">
        <w:rPr>
          <w:rFonts w:ascii="Times New Roman" w:eastAsia="Times New Roman" w:hAnsi="Times New Roman" w:cs="Times New Roman"/>
          <w:color w:val="212121"/>
          <w:sz w:val="24"/>
          <w:szCs w:val="24"/>
          <w:shd w:val="clear" w:color="auto" w:fill="FFFFFF"/>
        </w:rPr>
        <w:t xml:space="preserve"> closed session discussions involving the</w:t>
      </w:r>
      <w:r w:rsidR="001C3E21">
        <w:rPr>
          <w:rFonts w:ascii="Times New Roman" w:eastAsia="Times New Roman" w:hAnsi="Times New Roman" w:cs="Times New Roman"/>
          <w:color w:val="212121"/>
          <w:sz w:val="24"/>
          <w:szCs w:val="24"/>
          <w:shd w:val="clear" w:color="auto" w:fill="FFFFFF"/>
        </w:rPr>
        <w:t xml:space="preserve"> subject’s</w:t>
      </w:r>
      <w:r w:rsidR="00965932">
        <w:rPr>
          <w:rFonts w:ascii="Times New Roman" w:eastAsia="Times New Roman" w:hAnsi="Times New Roman" w:cs="Times New Roman"/>
          <w:color w:val="212121"/>
          <w:sz w:val="24"/>
          <w:szCs w:val="24"/>
          <w:shd w:val="clear" w:color="auto" w:fill="FFFFFF"/>
        </w:rPr>
        <w:t xml:space="preserve"> employment. </w:t>
      </w:r>
      <w:r w:rsidR="006C058C">
        <w:rPr>
          <w:rFonts w:ascii="Times New Roman" w:eastAsia="Times New Roman" w:hAnsi="Times New Roman" w:cs="Times New Roman"/>
          <w:color w:val="212121"/>
          <w:sz w:val="24"/>
          <w:szCs w:val="24"/>
          <w:shd w:val="clear" w:color="auto" w:fill="FFFFFF"/>
        </w:rPr>
        <w:t>On its face</w:t>
      </w:r>
      <w:r w:rsidR="00496F96">
        <w:rPr>
          <w:rFonts w:ascii="Times New Roman" w:eastAsia="Times New Roman" w:hAnsi="Times New Roman" w:cs="Times New Roman"/>
          <w:color w:val="212121"/>
          <w:sz w:val="24"/>
          <w:szCs w:val="24"/>
          <w:shd w:val="clear" w:color="auto" w:fill="FFFFFF"/>
        </w:rPr>
        <w:t xml:space="preserve">, this requirement could force public bodies to give notice </w:t>
      </w:r>
      <w:r w:rsidR="00114ABD">
        <w:rPr>
          <w:rFonts w:ascii="Times New Roman" w:eastAsia="Times New Roman" w:hAnsi="Times New Roman" w:cs="Times New Roman"/>
          <w:color w:val="212121"/>
          <w:sz w:val="24"/>
          <w:szCs w:val="24"/>
          <w:shd w:val="clear" w:color="auto" w:fill="FFFFFF"/>
        </w:rPr>
        <w:t xml:space="preserve">of a meeting </w:t>
      </w:r>
      <w:r w:rsidR="00496F96">
        <w:rPr>
          <w:rFonts w:ascii="Times New Roman" w:eastAsia="Times New Roman" w:hAnsi="Times New Roman" w:cs="Times New Roman"/>
          <w:color w:val="212121"/>
          <w:sz w:val="24"/>
          <w:szCs w:val="24"/>
          <w:shd w:val="clear" w:color="auto" w:fill="FFFFFF"/>
        </w:rPr>
        <w:t xml:space="preserve">to </w:t>
      </w:r>
      <w:r w:rsidR="006C058C">
        <w:rPr>
          <w:rFonts w:ascii="Times New Roman" w:eastAsia="Times New Roman" w:hAnsi="Times New Roman" w:cs="Times New Roman"/>
          <w:color w:val="212121"/>
          <w:sz w:val="24"/>
          <w:szCs w:val="24"/>
          <w:shd w:val="clear" w:color="auto" w:fill="FFFFFF"/>
        </w:rPr>
        <w:t>a wide range of individuals with, at most, a peripheral connection to the employment matter in question</w:t>
      </w:r>
      <w:r w:rsidR="00A25055">
        <w:rPr>
          <w:rFonts w:ascii="Times New Roman" w:eastAsia="Times New Roman" w:hAnsi="Times New Roman" w:cs="Times New Roman"/>
          <w:color w:val="212121"/>
          <w:sz w:val="24"/>
          <w:szCs w:val="24"/>
          <w:shd w:val="clear" w:color="auto" w:fill="FFFFFF"/>
        </w:rPr>
        <w:t xml:space="preserve">. For example: </w:t>
      </w:r>
      <w:r w:rsidR="001C3E21">
        <w:rPr>
          <w:rFonts w:ascii="Times New Roman" w:eastAsia="Times New Roman" w:hAnsi="Times New Roman" w:cs="Times New Roman"/>
          <w:color w:val="212121"/>
          <w:sz w:val="24"/>
          <w:szCs w:val="24"/>
          <w:shd w:val="clear" w:color="auto" w:fill="FFFFFF"/>
        </w:rPr>
        <w:t xml:space="preserve">spouses, ex-spouses, children, mortgage companies, </w:t>
      </w:r>
      <w:r w:rsidR="00226A4E">
        <w:rPr>
          <w:rFonts w:ascii="Times New Roman" w:eastAsia="Times New Roman" w:hAnsi="Times New Roman" w:cs="Times New Roman"/>
          <w:color w:val="212121"/>
          <w:sz w:val="24"/>
          <w:szCs w:val="24"/>
          <w:shd w:val="clear" w:color="auto" w:fill="FFFFFF"/>
        </w:rPr>
        <w:t xml:space="preserve">and </w:t>
      </w:r>
      <w:r w:rsidR="001C3E21">
        <w:rPr>
          <w:rFonts w:ascii="Times New Roman" w:eastAsia="Times New Roman" w:hAnsi="Times New Roman" w:cs="Times New Roman"/>
          <w:color w:val="212121"/>
          <w:sz w:val="24"/>
          <w:szCs w:val="24"/>
          <w:shd w:val="clear" w:color="auto" w:fill="FFFFFF"/>
        </w:rPr>
        <w:t>landlords</w:t>
      </w:r>
      <w:r w:rsidR="00226A4E">
        <w:rPr>
          <w:rFonts w:ascii="Times New Roman" w:eastAsia="Times New Roman" w:hAnsi="Times New Roman" w:cs="Times New Roman"/>
          <w:color w:val="212121"/>
          <w:sz w:val="24"/>
          <w:szCs w:val="24"/>
          <w:shd w:val="clear" w:color="auto" w:fill="FFFFFF"/>
        </w:rPr>
        <w:t xml:space="preserve"> </w:t>
      </w:r>
      <w:r w:rsidR="00A25055">
        <w:rPr>
          <w:rFonts w:ascii="Times New Roman" w:eastAsia="Times New Roman" w:hAnsi="Times New Roman" w:cs="Times New Roman"/>
          <w:color w:val="212121"/>
          <w:sz w:val="24"/>
          <w:szCs w:val="24"/>
          <w:shd w:val="clear" w:color="auto" w:fill="FFFFFF"/>
        </w:rPr>
        <w:t xml:space="preserve">could </w:t>
      </w:r>
      <w:r w:rsidR="00226A4E">
        <w:rPr>
          <w:rFonts w:ascii="Times New Roman" w:eastAsia="Times New Roman" w:hAnsi="Times New Roman" w:cs="Times New Roman"/>
          <w:color w:val="212121"/>
          <w:sz w:val="24"/>
          <w:szCs w:val="24"/>
          <w:shd w:val="clear" w:color="auto" w:fill="FFFFFF"/>
        </w:rPr>
        <w:t xml:space="preserve">all </w:t>
      </w:r>
      <w:r w:rsidR="00496F96">
        <w:rPr>
          <w:rFonts w:ascii="Times New Roman" w:eastAsia="Times New Roman" w:hAnsi="Times New Roman" w:cs="Times New Roman"/>
          <w:color w:val="212121"/>
          <w:sz w:val="24"/>
          <w:szCs w:val="24"/>
          <w:shd w:val="clear" w:color="auto" w:fill="FFFFFF"/>
        </w:rPr>
        <w:t>be adversely affected by the public body’s decision</w:t>
      </w:r>
      <w:r w:rsidR="001C3E21">
        <w:rPr>
          <w:rFonts w:ascii="Times New Roman" w:eastAsia="Times New Roman" w:hAnsi="Times New Roman" w:cs="Times New Roman"/>
          <w:color w:val="212121"/>
          <w:sz w:val="24"/>
          <w:szCs w:val="24"/>
          <w:shd w:val="clear" w:color="auto" w:fill="FFFFFF"/>
        </w:rPr>
        <w:t xml:space="preserve"> concerning </w:t>
      </w:r>
      <w:r w:rsidR="00114ABD">
        <w:rPr>
          <w:rFonts w:ascii="Times New Roman" w:eastAsia="Times New Roman" w:hAnsi="Times New Roman" w:cs="Times New Roman"/>
          <w:color w:val="212121"/>
          <w:sz w:val="24"/>
          <w:szCs w:val="24"/>
          <w:shd w:val="clear" w:color="auto" w:fill="FFFFFF"/>
        </w:rPr>
        <w:t xml:space="preserve">the subject’s employment. </w:t>
      </w:r>
    </w:p>
    <w:p w:rsidR="005B2456" w:rsidRDefault="005B2456"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D04864" w:rsidRDefault="00DF7435"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The current legislation </w:t>
      </w:r>
      <w:r w:rsidR="005665A4">
        <w:rPr>
          <w:rFonts w:ascii="Times New Roman" w:eastAsia="Times New Roman" w:hAnsi="Times New Roman" w:cs="Times New Roman"/>
          <w:color w:val="212121"/>
          <w:sz w:val="24"/>
          <w:szCs w:val="24"/>
          <w:shd w:val="clear" w:color="auto" w:fill="FFFFFF"/>
        </w:rPr>
        <w:t xml:space="preserve">partially </w:t>
      </w:r>
      <w:r>
        <w:rPr>
          <w:rFonts w:ascii="Times New Roman" w:eastAsia="Times New Roman" w:hAnsi="Times New Roman" w:cs="Times New Roman"/>
          <w:color w:val="212121"/>
          <w:sz w:val="24"/>
          <w:szCs w:val="24"/>
          <w:shd w:val="clear" w:color="auto" w:fill="FFFFFF"/>
        </w:rPr>
        <w:t xml:space="preserve">adopts the </w:t>
      </w:r>
      <w:r w:rsidR="00EB6572">
        <w:rPr>
          <w:rFonts w:ascii="Times New Roman" w:eastAsia="Times New Roman" w:hAnsi="Times New Roman" w:cs="Times New Roman"/>
          <w:color w:val="212121"/>
          <w:sz w:val="24"/>
          <w:szCs w:val="24"/>
          <w:shd w:val="clear" w:color="auto" w:fill="FFFFFF"/>
        </w:rPr>
        <w:t xml:space="preserve">expansion of </w:t>
      </w:r>
      <w:r w:rsidR="00EB6572">
        <w:rPr>
          <w:rFonts w:ascii="Times New Roman" w:eastAsia="Times New Roman" w:hAnsi="Times New Roman" w:cs="Times New Roman"/>
          <w:i/>
          <w:color w:val="212121"/>
          <w:sz w:val="24"/>
          <w:szCs w:val="24"/>
          <w:shd w:val="clear" w:color="auto" w:fill="FFFFFF"/>
        </w:rPr>
        <w:t xml:space="preserve">Rice </w:t>
      </w:r>
      <w:r w:rsidR="00EB6572" w:rsidRPr="00323529">
        <w:rPr>
          <w:rFonts w:ascii="Times New Roman" w:eastAsia="Times New Roman" w:hAnsi="Times New Roman" w:cs="Times New Roman"/>
          <w:color w:val="212121"/>
          <w:sz w:val="24"/>
          <w:szCs w:val="24"/>
          <w:shd w:val="clear" w:color="auto" w:fill="FFFFFF"/>
        </w:rPr>
        <w:t>and</w:t>
      </w:r>
      <w:r w:rsidR="00EB6572">
        <w:rPr>
          <w:rFonts w:ascii="Times New Roman" w:eastAsia="Times New Roman" w:hAnsi="Times New Roman" w:cs="Times New Roman"/>
          <w:i/>
          <w:color w:val="212121"/>
          <w:sz w:val="24"/>
          <w:szCs w:val="24"/>
          <w:shd w:val="clear" w:color="auto" w:fill="FFFFFF"/>
        </w:rPr>
        <w:t xml:space="preserve"> </w:t>
      </w:r>
      <w:r w:rsidR="00EB6572">
        <w:rPr>
          <w:rFonts w:ascii="Times New Roman" w:eastAsia="Times New Roman" w:hAnsi="Times New Roman" w:cs="Times New Roman"/>
          <w:color w:val="212121"/>
          <w:sz w:val="24"/>
          <w:szCs w:val="24"/>
          <w:shd w:val="clear" w:color="auto" w:fill="FFFFFF"/>
        </w:rPr>
        <w:t>N.J.S. 10:4-12(b</w:t>
      </w:r>
      <w:proofErr w:type="gramStart"/>
      <w:r w:rsidR="00EB6572">
        <w:rPr>
          <w:rFonts w:ascii="Times New Roman" w:eastAsia="Times New Roman" w:hAnsi="Times New Roman" w:cs="Times New Roman"/>
          <w:color w:val="212121"/>
          <w:sz w:val="24"/>
          <w:szCs w:val="24"/>
          <w:shd w:val="clear" w:color="auto" w:fill="FFFFFF"/>
        </w:rPr>
        <w:t>)(</w:t>
      </w:r>
      <w:proofErr w:type="gramEnd"/>
      <w:r w:rsidR="00EB6572">
        <w:rPr>
          <w:rFonts w:ascii="Times New Roman" w:eastAsia="Times New Roman" w:hAnsi="Times New Roman" w:cs="Times New Roman"/>
          <w:color w:val="212121"/>
          <w:sz w:val="24"/>
          <w:szCs w:val="24"/>
          <w:shd w:val="clear" w:color="auto" w:fill="FFFFFF"/>
        </w:rPr>
        <w:t xml:space="preserve">8) </w:t>
      </w:r>
      <w:r>
        <w:rPr>
          <w:rFonts w:ascii="Times New Roman" w:eastAsia="Times New Roman" w:hAnsi="Times New Roman" w:cs="Times New Roman"/>
          <w:color w:val="212121"/>
          <w:sz w:val="24"/>
          <w:szCs w:val="24"/>
          <w:shd w:val="clear" w:color="auto" w:fill="FFFFFF"/>
        </w:rPr>
        <w:t xml:space="preserve"> announced by the </w:t>
      </w:r>
      <w:r w:rsidR="00EB6572">
        <w:rPr>
          <w:rFonts w:ascii="Times New Roman" w:eastAsia="Times New Roman" w:hAnsi="Times New Roman" w:cs="Times New Roman"/>
          <w:color w:val="212121"/>
          <w:sz w:val="24"/>
          <w:szCs w:val="24"/>
          <w:shd w:val="clear" w:color="auto" w:fill="FFFFFF"/>
        </w:rPr>
        <w:t xml:space="preserve">Appellate Division </w:t>
      </w:r>
      <w:r w:rsidR="00C86F22">
        <w:rPr>
          <w:rFonts w:ascii="Times New Roman" w:eastAsia="Times New Roman" w:hAnsi="Times New Roman" w:cs="Times New Roman"/>
          <w:color w:val="212121"/>
          <w:sz w:val="24"/>
          <w:szCs w:val="24"/>
          <w:shd w:val="clear" w:color="auto" w:fill="FFFFFF"/>
        </w:rPr>
        <w:t xml:space="preserve">in </w:t>
      </w:r>
      <w:r w:rsidR="00C86F22">
        <w:rPr>
          <w:rFonts w:ascii="Times New Roman" w:eastAsia="Times New Roman" w:hAnsi="Times New Roman" w:cs="Times New Roman"/>
          <w:i/>
          <w:color w:val="212121"/>
          <w:sz w:val="24"/>
          <w:szCs w:val="24"/>
          <w:shd w:val="clear" w:color="auto" w:fill="FFFFFF"/>
        </w:rPr>
        <w:t xml:space="preserve">Kean Federation </w:t>
      </w:r>
      <w:r w:rsidR="00C86F22">
        <w:rPr>
          <w:rFonts w:ascii="Times New Roman" w:eastAsia="Times New Roman" w:hAnsi="Times New Roman" w:cs="Times New Roman"/>
          <w:color w:val="212121"/>
          <w:sz w:val="24"/>
          <w:szCs w:val="24"/>
          <w:shd w:val="clear" w:color="auto" w:fill="FFFFFF"/>
        </w:rPr>
        <w:t>and ultimately rejected by the Supreme Court</w:t>
      </w:r>
      <w:r>
        <w:rPr>
          <w:rFonts w:ascii="Times New Roman" w:eastAsia="Times New Roman" w:hAnsi="Times New Roman" w:cs="Times New Roman"/>
          <w:color w:val="212121"/>
          <w:sz w:val="24"/>
          <w:szCs w:val="24"/>
          <w:shd w:val="clear" w:color="auto" w:fill="FFFFFF"/>
        </w:rPr>
        <w:t xml:space="preserve"> in the same case</w:t>
      </w:r>
      <w:r w:rsidR="00C86F22">
        <w:rPr>
          <w:rFonts w:ascii="Times New Roman" w:eastAsia="Times New Roman" w:hAnsi="Times New Roman" w:cs="Times New Roman"/>
          <w:color w:val="212121"/>
          <w:sz w:val="24"/>
          <w:szCs w:val="24"/>
          <w:shd w:val="clear" w:color="auto" w:fill="FFFFFF"/>
        </w:rPr>
        <w:t>.</w:t>
      </w:r>
      <w:r w:rsidR="00114ABD">
        <w:rPr>
          <w:rStyle w:val="FootnoteReference"/>
          <w:rFonts w:eastAsia="Times New Roman" w:cs="Times New Roman"/>
          <w:color w:val="212121"/>
          <w:sz w:val="24"/>
          <w:szCs w:val="24"/>
          <w:shd w:val="clear" w:color="auto" w:fill="FFFFFF"/>
        </w:rPr>
        <w:footnoteReference w:id="64"/>
      </w:r>
      <w:r w:rsidR="00C86F22">
        <w:rPr>
          <w:rFonts w:ascii="Times New Roman" w:eastAsia="Times New Roman" w:hAnsi="Times New Roman" w:cs="Times New Roman"/>
          <w:color w:val="212121"/>
          <w:sz w:val="24"/>
          <w:szCs w:val="24"/>
          <w:shd w:val="clear" w:color="auto" w:fill="FFFFFF"/>
        </w:rPr>
        <w:t xml:space="preserve"> </w:t>
      </w:r>
      <w:r>
        <w:rPr>
          <w:rFonts w:ascii="Times New Roman" w:eastAsia="Times New Roman" w:hAnsi="Times New Roman" w:cs="Times New Roman"/>
          <w:color w:val="212121"/>
          <w:sz w:val="24"/>
          <w:szCs w:val="24"/>
          <w:shd w:val="clear" w:color="auto" w:fill="FFFFFF"/>
        </w:rPr>
        <w:t>T</w:t>
      </w:r>
      <w:r w:rsidR="00323529">
        <w:rPr>
          <w:rFonts w:ascii="Times New Roman" w:eastAsia="Times New Roman" w:hAnsi="Times New Roman" w:cs="Times New Roman"/>
          <w:color w:val="212121"/>
          <w:sz w:val="24"/>
          <w:szCs w:val="24"/>
          <w:shd w:val="clear" w:color="auto" w:fill="FFFFFF"/>
        </w:rPr>
        <w:t xml:space="preserve">he Supreme Court reasoned that </w:t>
      </w:r>
      <w:r>
        <w:rPr>
          <w:rFonts w:ascii="Times New Roman" w:eastAsia="Times New Roman" w:hAnsi="Times New Roman" w:cs="Times New Roman"/>
          <w:color w:val="212121"/>
          <w:sz w:val="24"/>
          <w:szCs w:val="24"/>
          <w:shd w:val="clear" w:color="auto" w:fill="FFFFFF"/>
        </w:rPr>
        <w:t xml:space="preserve">to extend </w:t>
      </w:r>
      <w:r>
        <w:rPr>
          <w:rFonts w:ascii="Times New Roman" w:eastAsia="Times New Roman" w:hAnsi="Times New Roman" w:cs="Times New Roman"/>
          <w:i/>
          <w:color w:val="212121"/>
          <w:sz w:val="24"/>
          <w:szCs w:val="24"/>
          <w:shd w:val="clear" w:color="auto" w:fill="FFFFFF"/>
        </w:rPr>
        <w:t xml:space="preserve">Rice </w:t>
      </w:r>
      <w:r>
        <w:rPr>
          <w:rFonts w:ascii="Times New Roman" w:eastAsia="Times New Roman" w:hAnsi="Times New Roman" w:cs="Times New Roman"/>
          <w:color w:val="212121"/>
          <w:sz w:val="24"/>
          <w:szCs w:val="24"/>
          <w:shd w:val="clear" w:color="auto" w:fill="FFFFFF"/>
        </w:rPr>
        <w:t>to the extent suggested by the Appellate Division</w:t>
      </w:r>
      <w:r w:rsidR="00323529">
        <w:rPr>
          <w:rFonts w:ascii="Times New Roman" w:eastAsia="Times New Roman" w:hAnsi="Times New Roman" w:cs="Times New Roman"/>
          <w:color w:val="212121"/>
          <w:sz w:val="24"/>
          <w:szCs w:val="24"/>
          <w:shd w:val="clear" w:color="auto" w:fill="FFFFFF"/>
        </w:rPr>
        <w:t>, “…would risk throwing off the careful balance that the Legislature struck between a public body’s need to control its own proceedings and at the same time determine when and how to protect confidential interests of the public body or others.”</w:t>
      </w:r>
      <w:r w:rsidR="00323529">
        <w:rPr>
          <w:rStyle w:val="FootnoteReference"/>
          <w:rFonts w:eastAsia="Times New Roman" w:cs="Times New Roman"/>
          <w:color w:val="212121"/>
          <w:sz w:val="24"/>
          <w:szCs w:val="24"/>
          <w:shd w:val="clear" w:color="auto" w:fill="FFFFFF"/>
        </w:rPr>
        <w:footnoteReference w:id="65"/>
      </w:r>
      <w:r w:rsidR="00323529">
        <w:rPr>
          <w:rFonts w:ascii="Times New Roman" w:eastAsia="Times New Roman" w:hAnsi="Times New Roman" w:cs="Times New Roman"/>
          <w:color w:val="212121"/>
          <w:sz w:val="24"/>
          <w:szCs w:val="24"/>
          <w:shd w:val="clear" w:color="auto" w:fill="FFFFFF"/>
        </w:rPr>
        <w:t xml:space="preserve"> The confidential interests of an employee might be abrogated if the public entity is required to send notice to “</w:t>
      </w:r>
      <w:r w:rsidR="00323529">
        <w:rPr>
          <w:rFonts w:ascii="Times New Roman" w:eastAsia="Times New Roman" w:hAnsi="Times New Roman" w:cs="Times New Roman"/>
          <w:i/>
          <w:color w:val="212121"/>
          <w:sz w:val="24"/>
          <w:szCs w:val="24"/>
          <w:shd w:val="clear" w:color="auto" w:fill="FFFFFF"/>
        </w:rPr>
        <w:t xml:space="preserve">any adversely affected individual or individuals” </w:t>
      </w:r>
      <w:r w:rsidR="00323529">
        <w:rPr>
          <w:rFonts w:ascii="Times New Roman" w:eastAsia="Times New Roman" w:hAnsi="Times New Roman" w:cs="Times New Roman"/>
          <w:color w:val="212121"/>
          <w:sz w:val="24"/>
          <w:szCs w:val="24"/>
          <w:shd w:val="clear" w:color="auto" w:fill="FFFFFF"/>
        </w:rPr>
        <w:t>in advance of any proposed meeting.</w:t>
      </w:r>
      <w:r>
        <w:rPr>
          <w:rFonts w:ascii="Times New Roman" w:eastAsia="Times New Roman" w:hAnsi="Times New Roman" w:cs="Times New Roman"/>
          <w:color w:val="212121"/>
          <w:sz w:val="24"/>
          <w:szCs w:val="24"/>
          <w:shd w:val="clear" w:color="auto" w:fill="FFFFFF"/>
        </w:rPr>
        <w:t xml:space="preserve"> </w:t>
      </w:r>
      <w:r w:rsidR="00295CC6">
        <w:rPr>
          <w:rFonts w:ascii="Times New Roman" w:eastAsia="Times New Roman" w:hAnsi="Times New Roman" w:cs="Times New Roman"/>
          <w:color w:val="212121"/>
          <w:sz w:val="24"/>
          <w:szCs w:val="24"/>
          <w:shd w:val="clear" w:color="auto" w:fill="FFFFFF"/>
        </w:rPr>
        <w:t xml:space="preserve"> </w:t>
      </w:r>
    </w:p>
    <w:p w:rsidR="005B2456" w:rsidRDefault="005B2456"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D04864" w:rsidRDefault="00323529" w:rsidP="008527A7">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O</w:t>
      </w:r>
      <w:r w:rsidR="00C86F22">
        <w:rPr>
          <w:rFonts w:ascii="Times New Roman" w:eastAsia="Times New Roman" w:hAnsi="Times New Roman" w:cs="Times New Roman"/>
          <w:color w:val="212121"/>
          <w:sz w:val="24"/>
          <w:szCs w:val="24"/>
          <w:shd w:val="clear" w:color="auto" w:fill="FFFFFF"/>
        </w:rPr>
        <w:t xml:space="preserve">n June 14, 2018, </w:t>
      </w:r>
      <w:r w:rsidR="00741D2B" w:rsidRPr="00741D2B">
        <w:rPr>
          <w:rFonts w:ascii="Times New Roman" w:eastAsia="Times New Roman" w:hAnsi="Times New Roman" w:cs="Times New Roman"/>
          <w:color w:val="212121"/>
          <w:sz w:val="24"/>
          <w:szCs w:val="24"/>
          <w:shd w:val="clear" w:color="auto" w:fill="FFFFFF"/>
        </w:rPr>
        <w:t xml:space="preserve">one week before the Supreme Court issued its opinion in </w:t>
      </w:r>
      <w:r w:rsidR="00741D2B" w:rsidRPr="00741D2B">
        <w:rPr>
          <w:rFonts w:ascii="Times New Roman" w:eastAsia="Times New Roman" w:hAnsi="Times New Roman" w:cs="Times New Roman"/>
          <w:i/>
          <w:color w:val="212121"/>
          <w:sz w:val="24"/>
          <w:szCs w:val="24"/>
          <w:shd w:val="clear" w:color="auto" w:fill="FFFFFF"/>
        </w:rPr>
        <w:t>Kean Federation</w:t>
      </w:r>
      <w:r w:rsidR="00741D2B">
        <w:rPr>
          <w:rFonts w:ascii="Times New Roman" w:eastAsia="Times New Roman" w:hAnsi="Times New Roman" w:cs="Times New Roman"/>
          <w:color w:val="212121"/>
          <w:sz w:val="24"/>
          <w:szCs w:val="24"/>
          <w:shd w:val="clear" w:color="auto" w:fill="FFFFFF"/>
        </w:rPr>
        <w:t>,</w:t>
      </w:r>
      <w:r w:rsidR="00741D2B" w:rsidRPr="00741D2B">
        <w:rPr>
          <w:rFonts w:ascii="Times New Roman" w:eastAsia="Times New Roman" w:hAnsi="Times New Roman" w:cs="Times New Roman"/>
          <w:color w:val="212121"/>
          <w:sz w:val="24"/>
          <w:szCs w:val="24"/>
          <w:shd w:val="clear" w:color="auto" w:fill="FFFFFF"/>
        </w:rPr>
        <w:t xml:space="preserve"> </w:t>
      </w:r>
      <w:r w:rsidR="00C86F22">
        <w:rPr>
          <w:rFonts w:ascii="Times New Roman" w:eastAsia="Times New Roman" w:hAnsi="Times New Roman" w:cs="Times New Roman"/>
          <w:color w:val="212121"/>
          <w:sz w:val="24"/>
          <w:szCs w:val="24"/>
          <w:shd w:val="clear" w:color="auto" w:fill="FFFFFF"/>
        </w:rPr>
        <w:t xml:space="preserve">S106 was reported </w:t>
      </w:r>
      <w:r w:rsidR="00BB4A46">
        <w:rPr>
          <w:rFonts w:ascii="Times New Roman" w:eastAsia="Times New Roman" w:hAnsi="Times New Roman" w:cs="Times New Roman"/>
          <w:color w:val="212121"/>
          <w:sz w:val="24"/>
          <w:szCs w:val="24"/>
          <w:shd w:val="clear" w:color="auto" w:fill="FFFFFF"/>
        </w:rPr>
        <w:t xml:space="preserve">out of </w:t>
      </w:r>
      <w:r w:rsidR="00C86F22">
        <w:rPr>
          <w:rFonts w:ascii="Times New Roman" w:eastAsia="Times New Roman" w:hAnsi="Times New Roman" w:cs="Times New Roman"/>
          <w:color w:val="212121"/>
          <w:sz w:val="24"/>
          <w:szCs w:val="24"/>
          <w:shd w:val="clear" w:color="auto" w:fill="FFFFFF"/>
        </w:rPr>
        <w:t>the Senate Committee</w:t>
      </w:r>
      <w:r w:rsidR="00BB4A46">
        <w:rPr>
          <w:rFonts w:ascii="Times New Roman" w:eastAsia="Times New Roman" w:hAnsi="Times New Roman" w:cs="Times New Roman"/>
          <w:color w:val="212121"/>
          <w:sz w:val="24"/>
          <w:szCs w:val="24"/>
          <w:shd w:val="clear" w:color="auto" w:fill="FFFFFF"/>
        </w:rPr>
        <w:t xml:space="preserve"> and r</w:t>
      </w:r>
      <w:r w:rsidR="00C86F22">
        <w:rPr>
          <w:rFonts w:ascii="Times New Roman" w:eastAsia="Times New Roman" w:hAnsi="Times New Roman" w:cs="Times New Roman"/>
          <w:color w:val="212121"/>
          <w:sz w:val="24"/>
          <w:szCs w:val="24"/>
          <w:shd w:val="clear" w:color="auto" w:fill="FFFFFF"/>
        </w:rPr>
        <w:t>eferred to the Senate Budget</w:t>
      </w:r>
      <w:r>
        <w:rPr>
          <w:rFonts w:ascii="Times New Roman" w:eastAsia="Times New Roman" w:hAnsi="Times New Roman" w:cs="Times New Roman"/>
          <w:color w:val="212121"/>
          <w:sz w:val="24"/>
          <w:szCs w:val="24"/>
          <w:shd w:val="clear" w:color="auto" w:fill="FFFFFF"/>
        </w:rPr>
        <w:t xml:space="preserve"> and Appropriations Committee</w:t>
      </w:r>
      <w:r w:rsidR="00741D2B">
        <w:rPr>
          <w:rFonts w:ascii="Times New Roman" w:eastAsia="Times New Roman" w:hAnsi="Times New Roman" w:cs="Times New Roman"/>
          <w:color w:val="212121"/>
          <w:sz w:val="24"/>
          <w:szCs w:val="24"/>
          <w:shd w:val="clear" w:color="auto" w:fill="FFFFFF"/>
        </w:rPr>
        <w:t>.</w:t>
      </w:r>
      <w:r w:rsidRPr="00323529">
        <w:rPr>
          <w:rStyle w:val="FootnoteReference"/>
          <w:rFonts w:eastAsia="Times New Roman" w:cs="Times New Roman"/>
          <w:color w:val="212121"/>
          <w:sz w:val="24"/>
          <w:szCs w:val="24"/>
          <w:shd w:val="clear" w:color="auto" w:fill="FFFFFF"/>
        </w:rPr>
        <w:footnoteReference w:id="66"/>
      </w:r>
      <w:r>
        <w:rPr>
          <w:rFonts w:ascii="Times New Roman" w:eastAsia="Times New Roman" w:hAnsi="Times New Roman" w:cs="Times New Roman"/>
          <w:i/>
          <w:color w:val="212121"/>
          <w:sz w:val="24"/>
          <w:szCs w:val="24"/>
          <w:shd w:val="clear" w:color="auto" w:fill="FFFFFF"/>
        </w:rPr>
        <w:t xml:space="preserve"> </w:t>
      </w:r>
      <w:r w:rsidR="00C86F22">
        <w:rPr>
          <w:rFonts w:ascii="Times New Roman" w:eastAsia="Times New Roman" w:hAnsi="Times New Roman" w:cs="Times New Roman"/>
          <w:color w:val="212121"/>
          <w:sz w:val="24"/>
          <w:szCs w:val="24"/>
          <w:shd w:val="clear" w:color="auto" w:fill="FFFFFF"/>
        </w:rPr>
        <w:t xml:space="preserve">The </w:t>
      </w:r>
      <w:r w:rsidR="00741D2B">
        <w:rPr>
          <w:rFonts w:ascii="Times New Roman" w:eastAsia="Times New Roman" w:hAnsi="Times New Roman" w:cs="Times New Roman"/>
          <w:color w:val="212121"/>
          <w:sz w:val="24"/>
          <w:szCs w:val="24"/>
          <w:shd w:val="clear" w:color="auto" w:fill="FFFFFF"/>
        </w:rPr>
        <w:t>companion</w:t>
      </w:r>
      <w:r w:rsidR="00C86F22">
        <w:rPr>
          <w:rFonts w:ascii="Times New Roman" w:eastAsia="Times New Roman" w:hAnsi="Times New Roman" w:cs="Times New Roman"/>
          <w:color w:val="212121"/>
          <w:sz w:val="24"/>
          <w:szCs w:val="24"/>
          <w:shd w:val="clear" w:color="auto" w:fill="FFFFFF"/>
        </w:rPr>
        <w:t xml:space="preserve"> bill, A1019, was introduced in the Assembly on January 09, 2018, and referred to the Assembly State and Local Government Committee</w:t>
      </w:r>
      <w:r w:rsidR="001C6D33">
        <w:rPr>
          <w:rFonts w:ascii="Times New Roman" w:eastAsia="Times New Roman" w:hAnsi="Times New Roman" w:cs="Times New Roman"/>
          <w:color w:val="212121"/>
          <w:sz w:val="24"/>
          <w:szCs w:val="24"/>
          <w:shd w:val="clear" w:color="auto" w:fill="FFFFFF"/>
        </w:rPr>
        <w:t>, but n</w:t>
      </w:r>
      <w:r>
        <w:rPr>
          <w:rFonts w:ascii="Times New Roman" w:eastAsia="Times New Roman" w:hAnsi="Times New Roman" w:cs="Times New Roman"/>
          <w:color w:val="212121"/>
          <w:sz w:val="24"/>
          <w:szCs w:val="24"/>
          <w:shd w:val="clear" w:color="auto" w:fill="FFFFFF"/>
        </w:rPr>
        <w:t>o further action has yet been taken</w:t>
      </w:r>
      <w:r w:rsidR="001C6D33">
        <w:rPr>
          <w:rFonts w:ascii="Times New Roman" w:eastAsia="Times New Roman" w:hAnsi="Times New Roman" w:cs="Times New Roman"/>
          <w:color w:val="212121"/>
          <w:sz w:val="24"/>
          <w:szCs w:val="24"/>
          <w:shd w:val="clear" w:color="auto" w:fill="FFFFFF"/>
        </w:rPr>
        <w:t xml:space="preserve">. </w:t>
      </w:r>
      <w:r>
        <w:rPr>
          <w:rFonts w:ascii="Times New Roman" w:eastAsia="Times New Roman" w:hAnsi="Times New Roman" w:cs="Times New Roman"/>
          <w:color w:val="212121"/>
          <w:sz w:val="24"/>
          <w:szCs w:val="24"/>
          <w:shd w:val="clear" w:color="auto" w:fill="FFFFFF"/>
        </w:rPr>
        <w:t xml:space="preserve"> </w:t>
      </w:r>
    </w:p>
    <w:p w:rsidR="00BB4A46" w:rsidRDefault="00BB4A46" w:rsidP="008527A7">
      <w:pPr>
        <w:spacing w:line="276" w:lineRule="auto"/>
        <w:ind w:firstLine="720"/>
        <w:jc w:val="both"/>
        <w:rPr>
          <w:rFonts w:ascii="Times New Roman" w:eastAsia="Times New Roman" w:hAnsi="Times New Roman" w:cs="Times New Roman"/>
          <w:color w:val="212121"/>
          <w:sz w:val="24"/>
          <w:szCs w:val="24"/>
          <w:shd w:val="clear" w:color="auto" w:fill="FFFFFF"/>
        </w:rPr>
      </w:pPr>
    </w:p>
    <w:p w:rsidR="005E572A" w:rsidRDefault="005E572A" w:rsidP="008527A7">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E524DD" w:rsidRDefault="00E524DD" w:rsidP="008527A7">
      <w:pPr>
        <w:spacing w:line="276" w:lineRule="auto"/>
        <w:ind w:left="720"/>
        <w:jc w:val="center"/>
        <w:rPr>
          <w:rFonts w:ascii="Times New Roman" w:eastAsia="Times New Roman" w:hAnsi="Times New Roman" w:cs="Times New Roman"/>
          <w:sz w:val="24"/>
          <w:szCs w:val="24"/>
        </w:rPr>
      </w:pPr>
    </w:p>
    <w:p w:rsidR="00DF7435" w:rsidRDefault="00DF7435" w:rsidP="008527A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253BF">
        <w:rPr>
          <w:rFonts w:ascii="Times New Roman" w:eastAsia="Times New Roman" w:hAnsi="Times New Roman" w:cs="Times New Roman"/>
          <w:sz w:val="24"/>
          <w:szCs w:val="24"/>
        </w:rPr>
        <w:t xml:space="preserve">In </w:t>
      </w:r>
      <w:r w:rsidR="002253BF" w:rsidRPr="002253BF">
        <w:rPr>
          <w:rFonts w:ascii="Times New Roman" w:eastAsia="Times New Roman" w:hAnsi="Times New Roman" w:cs="Times New Roman"/>
          <w:i/>
          <w:sz w:val="24"/>
          <w:szCs w:val="24"/>
        </w:rPr>
        <w:t>Kean</w:t>
      </w:r>
      <w:r w:rsidR="002253BF">
        <w:rPr>
          <w:rFonts w:ascii="Times New Roman" w:eastAsia="Times New Roman" w:hAnsi="Times New Roman" w:cs="Times New Roman"/>
          <w:sz w:val="24"/>
          <w:szCs w:val="24"/>
        </w:rPr>
        <w:t xml:space="preserve"> </w:t>
      </w:r>
      <w:r w:rsidR="002253BF">
        <w:rPr>
          <w:rFonts w:ascii="Times New Roman" w:eastAsia="Times New Roman" w:hAnsi="Times New Roman" w:cs="Times New Roman"/>
          <w:i/>
          <w:sz w:val="24"/>
          <w:szCs w:val="24"/>
        </w:rPr>
        <w:t xml:space="preserve">Federation, </w:t>
      </w:r>
      <w:r w:rsidR="002253BF">
        <w:rPr>
          <w:rFonts w:ascii="Times New Roman" w:eastAsia="Times New Roman" w:hAnsi="Times New Roman" w:cs="Times New Roman"/>
          <w:sz w:val="24"/>
          <w:szCs w:val="24"/>
        </w:rPr>
        <w:t>the New Jersey Supreme Court addressed a public entit</w:t>
      </w:r>
      <w:r w:rsidR="00741D2B">
        <w:rPr>
          <w:rFonts w:ascii="Times New Roman" w:eastAsia="Times New Roman" w:hAnsi="Times New Roman" w:cs="Times New Roman"/>
          <w:sz w:val="24"/>
          <w:szCs w:val="24"/>
        </w:rPr>
        <w:t>y’</w:t>
      </w:r>
      <w:r w:rsidR="002253BF">
        <w:rPr>
          <w:rFonts w:ascii="Times New Roman" w:eastAsia="Times New Roman" w:hAnsi="Times New Roman" w:cs="Times New Roman"/>
          <w:sz w:val="24"/>
          <w:szCs w:val="24"/>
        </w:rPr>
        <w:t>s obligation to make meeting minutes promptly available to the public</w:t>
      </w:r>
      <w:r w:rsidR="004B0290">
        <w:rPr>
          <w:rFonts w:ascii="Times New Roman" w:eastAsia="Times New Roman" w:hAnsi="Times New Roman" w:cs="Times New Roman"/>
          <w:sz w:val="24"/>
          <w:szCs w:val="24"/>
        </w:rPr>
        <w:t xml:space="preserve"> and </w:t>
      </w:r>
      <w:r w:rsidR="002253BF">
        <w:rPr>
          <w:rFonts w:ascii="Times New Roman" w:eastAsia="Times New Roman" w:hAnsi="Times New Roman" w:cs="Times New Roman"/>
          <w:sz w:val="24"/>
          <w:szCs w:val="24"/>
        </w:rPr>
        <w:t xml:space="preserve">decided that “reasonableness” must remain the touchstone when assessing the promptness of a public entity’s action in this area. S106 and A1019 appear to strike a balance between the public’s right to information and a public entity’s autonomy and logistical flexibility.  </w:t>
      </w:r>
    </w:p>
    <w:p w:rsidR="002253BF" w:rsidRDefault="002253BF" w:rsidP="008527A7">
      <w:pPr>
        <w:spacing w:line="276" w:lineRule="auto"/>
        <w:jc w:val="both"/>
        <w:rPr>
          <w:rFonts w:ascii="Times New Roman" w:eastAsia="Times New Roman" w:hAnsi="Times New Roman" w:cs="Times New Roman"/>
          <w:sz w:val="24"/>
          <w:szCs w:val="24"/>
        </w:rPr>
      </w:pPr>
    </w:p>
    <w:p w:rsidR="002253BF" w:rsidRPr="002253BF" w:rsidRDefault="002253BF" w:rsidP="008527A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6178">
        <w:rPr>
          <w:rFonts w:ascii="Times New Roman" w:eastAsia="Times New Roman" w:hAnsi="Times New Roman" w:cs="Times New Roman"/>
          <w:sz w:val="24"/>
          <w:szCs w:val="24"/>
        </w:rPr>
        <w:t>In that same case</w:t>
      </w:r>
      <w:r>
        <w:rPr>
          <w:rFonts w:ascii="Times New Roman" w:eastAsia="Times New Roman" w:hAnsi="Times New Roman" w:cs="Times New Roman"/>
          <w:sz w:val="24"/>
          <w:szCs w:val="24"/>
        </w:rPr>
        <w:t>, the Supreme Court examined a public body’s notice obligations under the OPMA</w:t>
      </w:r>
      <w:r w:rsidR="008A6178">
        <w:rPr>
          <w:rFonts w:ascii="Times New Roman" w:eastAsia="Times New Roman" w:hAnsi="Times New Roman" w:cs="Times New Roman"/>
          <w:sz w:val="24"/>
          <w:szCs w:val="24"/>
        </w:rPr>
        <w:t xml:space="preserve"> and </w:t>
      </w:r>
      <w:r w:rsidR="004B132F">
        <w:rPr>
          <w:rFonts w:ascii="Times New Roman" w:eastAsia="Times New Roman" w:hAnsi="Times New Roman" w:cs="Times New Roman"/>
          <w:sz w:val="24"/>
          <w:szCs w:val="24"/>
        </w:rPr>
        <w:t xml:space="preserve">affirmed the current practice of providing a </w:t>
      </w:r>
      <w:r w:rsidR="004B132F">
        <w:rPr>
          <w:rFonts w:ascii="Times New Roman" w:eastAsia="Times New Roman" w:hAnsi="Times New Roman" w:cs="Times New Roman"/>
          <w:i/>
          <w:sz w:val="24"/>
          <w:szCs w:val="24"/>
        </w:rPr>
        <w:t xml:space="preserve">Rice </w:t>
      </w:r>
      <w:r w:rsidR="004B132F">
        <w:rPr>
          <w:rFonts w:ascii="Times New Roman" w:eastAsia="Times New Roman" w:hAnsi="Times New Roman" w:cs="Times New Roman"/>
          <w:sz w:val="24"/>
          <w:szCs w:val="24"/>
        </w:rPr>
        <w:t xml:space="preserve">notice </w:t>
      </w:r>
      <w:r w:rsidR="004B132F">
        <w:rPr>
          <w:rFonts w:ascii="Times New Roman" w:eastAsia="Times New Roman" w:hAnsi="Times New Roman" w:cs="Times New Roman"/>
          <w:color w:val="212121"/>
          <w:sz w:val="24"/>
          <w:szCs w:val="24"/>
          <w:shd w:val="clear" w:color="auto" w:fill="FFFFFF"/>
        </w:rPr>
        <w:t xml:space="preserve">only when a public body intends to consider taking adverse employment action related to an employee during a closed session. </w:t>
      </w:r>
      <w:r w:rsidR="004B0290" w:rsidRPr="004B0290">
        <w:rPr>
          <w:rFonts w:ascii="Times New Roman" w:eastAsia="Times New Roman" w:hAnsi="Times New Roman" w:cs="Times New Roman"/>
          <w:sz w:val="24"/>
          <w:szCs w:val="24"/>
        </w:rPr>
        <w:t>S106 and A1019</w:t>
      </w:r>
      <w:r w:rsidR="004B132F">
        <w:rPr>
          <w:rFonts w:ascii="Times New Roman" w:eastAsia="Times New Roman" w:hAnsi="Times New Roman" w:cs="Times New Roman"/>
          <w:sz w:val="24"/>
          <w:szCs w:val="24"/>
        </w:rPr>
        <w:t xml:space="preserve"> expand </w:t>
      </w:r>
      <w:r w:rsidR="00B324C7">
        <w:rPr>
          <w:rFonts w:ascii="Times New Roman" w:eastAsia="Times New Roman" w:hAnsi="Times New Roman" w:cs="Times New Roman"/>
          <w:sz w:val="24"/>
          <w:szCs w:val="24"/>
        </w:rPr>
        <w:t xml:space="preserve">the </w:t>
      </w:r>
      <w:r w:rsidR="004B0290">
        <w:rPr>
          <w:rFonts w:ascii="Times New Roman" w:eastAsia="Times New Roman" w:hAnsi="Times New Roman" w:cs="Times New Roman"/>
          <w:sz w:val="24"/>
          <w:szCs w:val="24"/>
        </w:rPr>
        <w:t xml:space="preserve">group of </w:t>
      </w:r>
      <w:r w:rsidR="00B324C7">
        <w:rPr>
          <w:rFonts w:ascii="Times New Roman" w:eastAsia="Times New Roman" w:hAnsi="Times New Roman" w:cs="Times New Roman"/>
          <w:sz w:val="24"/>
          <w:szCs w:val="24"/>
        </w:rPr>
        <w:t>individuals who are to receive notice pursuant to N.J.S. 10:4-12(b</w:t>
      </w:r>
      <w:proofErr w:type="gramStart"/>
      <w:r w:rsidR="00B324C7">
        <w:rPr>
          <w:rFonts w:ascii="Times New Roman" w:eastAsia="Times New Roman" w:hAnsi="Times New Roman" w:cs="Times New Roman"/>
          <w:sz w:val="24"/>
          <w:szCs w:val="24"/>
        </w:rPr>
        <w:t>)(</w:t>
      </w:r>
      <w:proofErr w:type="gramEnd"/>
      <w:r w:rsidR="00B324C7">
        <w:rPr>
          <w:rFonts w:ascii="Times New Roman" w:eastAsia="Times New Roman" w:hAnsi="Times New Roman" w:cs="Times New Roman"/>
          <w:sz w:val="24"/>
          <w:szCs w:val="24"/>
        </w:rPr>
        <w:t>8).</w:t>
      </w:r>
    </w:p>
    <w:p w:rsidR="00DF7435" w:rsidRDefault="00DF7435" w:rsidP="008527A7">
      <w:pPr>
        <w:spacing w:line="276" w:lineRule="auto"/>
        <w:jc w:val="both"/>
        <w:rPr>
          <w:rFonts w:ascii="Times New Roman" w:eastAsia="Times New Roman" w:hAnsi="Times New Roman" w:cs="Times New Roman"/>
          <w:sz w:val="24"/>
          <w:szCs w:val="24"/>
        </w:rPr>
      </w:pPr>
    </w:p>
    <w:sectPr w:rsidR="00DF74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40C" w:rsidRDefault="004F640C" w:rsidP="005E572A">
      <w:r>
        <w:separator/>
      </w:r>
    </w:p>
  </w:endnote>
  <w:endnote w:type="continuationSeparator" w:id="0">
    <w:p w:rsidR="004F640C" w:rsidRDefault="004F640C" w:rsidP="005E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0C" w:rsidRPr="00411264" w:rsidRDefault="004F640C" w:rsidP="002E2AFD">
    <w:pPr>
      <w:jc w:val="center"/>
      <w:rPr>
        <w:rFonts w:ascii="Times New Roman" w:hAnsi="Times New Roman" w:cs="Times New Roman"/>
        <w:sz w:val="20"/>
        <w:szCs w:val="20"/>
      </w:rPr>
    </w:pPr>
    <w:r w:rsidRPr="00CA29B6">
      <w:rPr>
        <w:rFonts w:ascii="Times New Roman" w:hAnsi="Times New Roman" w:cs="Times New Roman"/>
        <w:sz w:val="20"/>
        <w:szCs w:val="20"/>
      </w:rPr>
      <w:t>Open Public Meetings Act</w:t>
    </w:r>
    <w:r>
      <w:rPr>
        <w:rFonts w:ascii="Times New Roman" w:hAnsi="Times New Roman" w:cs="Times New Roman"/>
        <w:sz w:val="20"/>
        <w:szCs w:val="20"/>
      </w:rPr>
      <w:t xml:space="preserve"> – </w:t>
    </w:r>
    <w:r w:rsidR="00D92B3B" w:rsidRPr="00D92B3B">
      <w:rPr>
        <w:rFonts w:ascii="Times New Roman" w:hAnsi="Times New Roman" w:cs="Times New Roman"/>
        <w:sz w:val="20"/>
        <w:szCs w:val="20"/>
      </w:rPr>
      <w:t xml:space="preserve">Memorandum - </w:t>
    </w:r>
    <w:r>
      <w:rPr>
        <w:rFonts w:ascii="Times New Roman" w:hAnsi="Times New Roman" w:cs="Times New Roman"/>
        <w:sz w:val="20"/>
        <w:szCs w:val="20"/>
      </w:rPr>
      <w:t>July 09, 2018</w:t>
    </w:r>
    <w:r w:rsidRPr="0074698C">
      <w:rPr>
        <w:rFonts w:ascii="Times New Roman" w:hAnsi="Times New Roman" w:cs="Times New Roman"/>
        <w:sz w:val="20"/>
        <w:szCs w:val="20"/>
      </w:rPr>
      <w:t xml:space="preserve"> – Page </w:t>
    </w:r>
    <w:r w:rsidRPr="0074698C">
      <w:rPr>
        <w:rFonts w:ascii="Times New Roman" w:hAnsi="Times New Roman" w:cs="Times New Roman"/>
        <w:sz w:val="20"/>
        <w:szCs w:val="20"/>
      </w:rPr>
      <w:fldChar w:fldCharType="begin"/>
    </w:r>
    <w:r w:rsidRPr="0074698C">
      <w:rPr>
        <w:rFonts w:ascii="Times New Roman" w:hAnsi="Times New Roman" w:cs="Times New Roman"/>
        <w:sz w:val="20"/>
        <w:szCs w:val="20"/>
      </w:rPr>
      <w:instrText xml:space="preserve"> PAGE   \* MERGEFORMAT </w:instrText>
    </w:r>
    <w:r w:rsidRPr="0074698C">
      <w:rPr>
        <w:rFonts w:ascii="Times New Roman" w:hAnsi="Times New Roman" w:cs="Times New Roman"/>
        <w:sz w:val="20"/>
        <w:szCs w:val="20"/>
      </w:rPr>
      <w:fldChar w:fldCharType="separate"/>
    </w:r>
    <w:r w:rsidR="00D64562">
      <w:rPr>
        <w:rFonts w:ascii="Times New Roman" w:hAnsi="Times New Roman" w:cs="Times New Roman"/>
        <w:noProof/>
        <w:sz w:val="20"/>
        <w:szCs w:val="20"/>
      </w:rPr>
      <w:t>7</w:t>
    </w:r>
    <w:r w:rsidRPr="0074698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40C" w:rsidRDefault="004F640C" w:rsidP="005E572A">
      <w:r>
        <w:separator/>
      </w:r>
    </w:p>
  </w:footnote>
  <w:footnote w:type="continuationSeparator" w:id="0">
    <w:p w:rsidR="004F640C" w:rsidRDefault="004F640C" w:rsidP="005E572A">
      <w:r>
        <w:continuationSeparator/>
      </w:r>
    </w:p>
  </w:footnote>
  <w:footnote w:id="1">
    <w:p w:rsidR="004F640C" w:rsidRDefault="004F640C">
      <w:pPr>
        <w:pStyle w:val="FootnoteText"/>
      </w:pPr>
      <w:r>
        <w:rPr>
          <w:rStyle w:val="FootnoteReference"/>
        </w:rPr>
        <w:footnoteRef/>
      </w:r>
      <w:r>
        <w:t xml:space="preserve"> </w:t>
      </w:r>
      <w:r w:rsidRPr="00CA1D47">
        <w:rPr>
          <w:rFonts w:cs="Times New Roman"/>
          <w:i/>
        </w:rPr>
        <w:t xml:space="preserve">Kean </w:t>
      </w:r>
      <w:proofErr w:type="spellStart"/>
      <w:r w:rsidRPr="00CA1D47">
        <w:rPr>
          <w:rFonts w:cs="Times New Roman"/>
          <w:i/>
        </w:rPr>
        <w:t>Fed</w:t>
      </w:r>
      <w:r>
        <w:rPr>
          <w:rFonts w:cs="Times New Roman"/>
          <w:i/>
        </w:rPr>
        <w:t>’n</w:t>
      </w:r>
      <w:proofErr w:type="spellEnd"/>
      <w:r w:rsidRPr="00CA1D47">
        <w:rPr>
          <w:rFonts w:cs="Times New Roman"/>
          <w:i/>
        </w:rPr>
        <w:t xml:space="preserve"> of </w:t>
      </w:r>
      <w:proofErr w:type="spellStart"/>
      <w:r>
        <w:rPr>
          <w:rFonts w:cs="Times New Roman"/>
          <w:i/>
        </w:rPr>
        <w:t>Tchrs</w:t>
      </w:r>
      <w:proofErr w:type="spellEnd"/>
      <w:r>
        <w:rPr>
          <w:rFonts w:cs="Times New Roman"/>
          <w:i/>
        </w:rPr>
        <w:t>.</w:t>
      </w:r>
      <w:r w:rsidRPr="00CA1D47">
        <w:rPr>
          <w:rFonts w:cs="Times New Roman"/>
          <w:i/>
        </w:rPr>
        <w:t xml:space="preserve"> v. Morell</w:t>
      </w:r>
      <w:r>
        <w:rPr>
          <w:rFonts w:cs="Times New Roman"/>
        </w:rPr>
        <w:t xml:space="preserve">, 2015 WL 3460030 (Law Div., 2015); 448 N.J. Super. 520 (App. Div. 2017); </w:t>
      </w:r>
      <w:r>
        <w:rPr>
          <w:rFonts w:cs="Times New Roman"/>
          <w:i/>
        </w:rPr>
        <w:t xml:space="preserve">cert. granted </w:t>
      </w:r>
      <w:r>
        <w:rPr>
          <w:rFonts w:cs="Times New Roman"/>
        </w:rPr>
        <w:t>No. A-84, 2018 WL 3062207 (N.J. June 21, 2018).</w:t>
      </w:r>
    </w:p>
  </w:footnote>
  <w:footnote w:id="2">
    <w:p w:rsidR="004F640C" w:rsidRPr="00C90788" w:rsidRDefault="004F640C">
      <w:pPr>
        <w:pStyle w:val="FootnoteText"/>
        <w:rPr>
          <w:i/>
        </w:rPr>
      </w:pPr>
      <w:r>
        <w:rPr>
          <w:rStyle w:val="FootnoteReference"/>
        </w:rPr>
        <w:footnoteRef/>
      </w:r>
      <w:r>
        <w:t xml:space="preserve"> </w:t>
      </w:r>
      <w:r>
        <w:rPr>
          <w:i/>
        </w:rPr>
        <w:t xml:space="preserve">Id. </w:t>
      </w:r>
      <w:r w:rsidRPr="00C90788">
        <w:t xml:space="preserve">at </w:t>
      </w:r>
      <w:r>
        <w:t>*</w:t>
      </w:r>
      <w:r w:rsidRPr="00C90788">
        <w:t>5.</w:t>
      </w:r>
    </w:p>
  </w:footnote>
  <w:footnote w:id="3">
    <w:p w:rsidR="004F640C" w:rsidRPr="00C90788" w:rsidRDefault="004F640C" w:rsidP="006F3A0A">
      <w:pPr>
        <w:pStyle w:val="FootnoteText"/>
        <w:rPr>
          <w:i/>
        </w:rPr>
      </w:pPr>
      <w:r>
        <w:rPr>
          <w:rStyle w:val="FootnoteReference"/>
        </w:rPr>
        <w:footnoteRef/>
      </w:r>
      <w:r>
        <w:t xml:space="preserve"> </w:t>
      </w:r>
      <w:r>
        <w:rPr>
          <w:i/>
        </w:rPr>
        <w:t xml:space="preserve">Id. </w:t>
      </w:r>
      <w:r w:rsidRPr="00C90788">
        <w:t xml:space="preserve">at </w:t>
      </w:r>
      <w:r>
        <w:t>*</w:t>
      </w:r>
      <w:r w:rsidRPr="00C90788">
        <w:t>5.</w:t>
      </w:r>
    </w:p>
  </w:footnote>
  <w:footnote w:id="4">
    <w:p w:rsidR="004F640C" w:rsidRDefault="004F640C" w:rsidP="00C90788">
      <w:pPr>
        <w:pStyle w:val="FootnoteText"/>
      </w:pPr>
      <w:r>
        <w:rPr>
          <w:rStyle w:val="FootnoteReference"/>
        </w:rPr>
        <w:footnoteRef/>
      </w:r>
      <w:r>
        <w:t xml:space="preserve"> </w:t>
      </w:r>
      <w:r w:rsidRPr="00CA1D47">
        <w:rPr>
          <w:rFonts w:cs="Times New Roman"/>
          <w:i/>
        </w:rPr>
        <w:t xml:space="preserve">Kean </w:t>
      </w:r>
      <w:proofErr w:type="spellStart"/>
      <w:r w:rsidRPr="00CA1D47">
        <w:rPr>
          <w:rFonts w:cs="Times New Roman"/>
          <w:i/>
        </w:rPr>
        <w:t>Fed</w:t>
      </w:r>
      <w:r>
        <w:rPr>
          <w:rFonts w:cs="Times New Roman"/>
          <w:i/>
        </w:rPr>
        <w:t>’n</w:t>
      </w:r>
      <w:proofErr w:type="spellEnd"/>
      <w:r w:rsidRPr="00CA1D47">
        <w:rPr>
          <w:rFonts w:cs="Times New Roman"/>
          <w:i/>
        </w:rPr>
        <w:t xml:space="preserve"> of </w:t>
      </w:r>
      <w:proofErr w:type="spellStart"/>
      <w:r>
        <w:rPr>
          <w:rFonts w:cs="Times New Roman"/>
          <w:i/>
        </w:rPr>
        <w:t>Tchrs</w:t>
      </w:r>
      <w:proofErr w:type="spellEnd"/>
      <w:r>
        <w:rPr>
          <w:rFonts w:cs="Times New Roman"/>
          <w:i/>
        </w:rPr>
        <w:t>.</w:t>
      </w:r>
      <w:r w:rsidRPr="00CA1D47">
        <w:rPr>
          <w:rFonts w:cs="Times New Roman"/>
          <w:i/>
        </w:rPr>
        <w:t xml:space="preserve"> v. Morell</w:t>
      </w:r>
      <w:r>
        <w:rPr>
          <w:rFonts w:cs="Times New Roman"/>
        </w:rPr>
        <w:t>, No. A-84, 2018 WL 3062207 (N.J. June 21, 2018).</w:t>
      </w:r>
    </w:p>
  </w:footnote>
  <w:footnote w:id="5">
    <w:p w:rsidR="004F640C" w:rsidRDefault="004F640C" w:rsidP="00C90788">
      <w:pPr>
        <w:pStyle w:val="FootnoteText"/>
      </w:pPr>
      <w:r>
        <w:rPr>
          <w:rStyle w:val="FootnoteReference"/>
        </w:rPr>
        <w:footnoteRef/>
      </w:r>
      <w:r>
        <w:t xml:space="preserve"> S106, 2018 Leg., 218</w:t>
      </w:r>
      <w:r w:rsidRPr="001D0C57">
        <w:rPr>
          <w:vertAlign w:val="superscript"/>
        </w:rPr>
        <w:t>th</w:t>
      </w:r>
      <w:r>
        <w:t xml:space="preserve"> Leg. (N.J. 2018); </w:t>
      </w:r>
      <w:r>
        <w:rPr>
          <w:i/>
        </w:rPr>
        <w:t xml:space="preserve">see also, </w:t>
      </w:r>
      <w:r>
        <w:t>A1019, 2018 Leg. 218</w:t>
      </w:r>
      <w:r w:rsidRPr="00347DE7">
        <w:rPr>
          <w:vertAlign w:val="superscript"/>
        </w:rPr>
        <w:t>th</w:t>
      </w:r>
      <w:r>
        <w:t xml:space="preserve"> Leg. (N.J. 2018).</w:t>
      </w:r>
    </w:p>
  </w:footnote>
  <w:footnote w:id="6">
    <w:p w:rsidR="004F640C" w:rsidRPr="006B0039" w:rsidRDefault="004F640C" w:rsidP="00922C9F">
      <w:pPr>
        <w:pStyle w:val="FootnoteText"/>
      </w:pPr>
      <w:r>
        <w:rPr>
          <w:rStyle w:val="FootnoteReference"/>
        </w:rPr>
        <w:footnoteRef/>
      </w:r>
      <w:r>
        <w:t xml:space="preserve"> </w:t>
      </w:r>
      <w:r w:rsidRPr="00CA1D47">
        <w:rPr>
          <w:rFonts w:cs="Times New Roman"/>
          <w:i/>
        </w:rPr>
        <w:t xml:space="preserve">Kean </w:t>
      </w:r>
      <w:proofErr w:type="spellStart"/>
      <w:r w:rsidRPr="00CA1D47">
        <w:rPr>
          <w:rFonts w:cs="Times New Roman"/>
          <w:i/>
        </w:rPr>
        <w:t>Fed</w:t>
      </w:r>
      <w:r>
        <w:rPr>
          <w:rFonts w:cs="Times New Roman"/>
          <w:i/>
        </w:rPr>
        <w:t>’n</w:t>
      </w:r>
      <w:proofErr w:type="spellEnd"/>
      <w:r>
        <w:rPr>
          <w:rFonts w:cs="Times New Roman"/>
        </w:rPr>
        <w:t xml:space="preserve">, 448 N.J. Super. </w:t>
      </w:r>
      <w:proofErr w:type="gramStart"/>
      <w:r>
        <w:rPr>
          <w:rFonts w:cs="Times New Roman"/>
        </w:rPr>
        <w:t>at</w:t>
      </w:r>
      <w:proofErr w:type="gramEnd"/>
      <w:r>
        <w:rPr>
          <w:rFonts w:cs="Times New Roman"/>
        </w:rPr>
        <w:t xml:space="preserve"> 524-525</w:t>
      </w:r>
      <w:r>
        <w:t>.</w:t>
      </w:r>
    </w:p>
  </w:footnote>
  <w:footnote w:id="7">
    <w:p w:rsidR="004F640C" w:rsidRDefault="004F640C" w:rsidP="00922C9F">
      <w:pPr>
        <w:pStyle w:val="FootnoteText"/>
      </w:pPr>
      <w:r>
        <w:rPr>
          <w:rStyle w:val="FootnoteReference"/>
        </w:rPr>
        <w:footnoteRef/>
      </w:r>
      <w:r>
        <w:t xml:space="preserve"> </w:t>
      </w:r>
      <w:r>
        <w:rPr>
          <w:i/>
        </w:rPr>
        <w:t>Id</w:t>
      </w:r>
      <w:r>
        <w:t xml:space="preserve">. at 525. </w:t>
      </w:r>
    </w:p>
  </w:footnote>
  <w:footnote w:id="8">
    <w:p w:rsidR="004F640C" w:rsidRPr="00DE7042" w:rsidRDefault="004F640C">
      <w:pPr>
        <w:pStyle w:val="FootnoteText"/>
        <w:rPr>
          <w:i/>
        </w:rPr>
      </w:pPr>
      <w:r>
        <w:rPr>
          <w:rStyle w:val="FootnoteReference"/>
        </w:rPr>
        <w:footnoteRef/>
      </w:r>
      <w:r>
        <w:t xml:space="preserve"> </w:t>
      </w:r>
      <w:r>
        <w:rPr>
          <w:i/>
        </w:rPr>
        <w:t>Id.</w:t>
      </w:r>
    </w:p>
  </w:footnote>
  <w:footnote w:id="9">
    <w:p w:rsidR="004F640C" w:rsidRPr="00750C28" w:rsidRDefault="004F640C" w:rsidP="00922C9F">
      <w:pPr>
        <w:pStyle w:val="FootnoteText"/>
        <w:rPr>
          <w:sz w:val="16"/>
        </w:rPr>
      </w:pPr>
      <w:r>
        <w:rPr>
          <w:rStyle w:val="FootnoteReference"/>
        </w:rPr>
        <w:footnoteRef/>
      </w:r>
      <w:r w:rsidRPr="000021B1">
        <w:rPr>
          <w:rFonts w:cs="Times New Roman"/>
          <w:i/>
        </w:rPr>
        <w:t xml:space="preserve">Rice v. Union </w:t>
      </w:r>
      <w:proofErr w:type="spellStart"/>
      <w:r w:rsidRPr="000021B1">
        <w:rPr>
          <w:rFonts w:cs="Times New Roman"/>
          <w:i/>
        </w:rPr>
        <w:t>Cnty</w:t>
      </w:r>
      <w:proofErr w:type="spellEnd"/>
      <w:r>
        <w:rPr>
          <w:rFonts w:cs="Times New Roman"/>
          <w:i/>
        </w:rPr>
        <w:t>.</w:t>
      </w:r>
      <w:r w:rsidRPr="000021B1">
        <w:rPr>
          <w:rFonts w:cs="Times New Roman"/>
          <w:i/>
        </w:rPr>
        <w:t xml:space="preserve"> Re</w:t>
      </w:r>
      <w:r>
        <w:rPr>
          <w:rFonts w:cs="Times New Roman"/>
          <w:i/>
        </w:rPr>
        <w:t>g’</w:t>
      </w:r>
      <w:r w:rsidRPr="000021B1">
        <w:rPr>
          <w:rFonts w:cs="Times New Roman"/>
          <w:i/>
        </w:rPr>
        <w:t>l High Sch</w:t>
      </w:r>
      <w:r>
        <w:rPr>
          <w:rFonts w:cs="Times New Roman"/>
          <w:i/>
        </w:rPr>
        <w:t>.</w:t>
      </w:r>
      <w:r w:rsidRPr="000021B1">
        <w:rPr>
          <w:rFonts w:cs="Times New Roman"/>
          <w:i/>
        </w:rPr>
        <w:t xml:space="preserve"> B</w:t>
      </w:r>
      <w:r>
        <w:rPr>
          <w:rFonts w:cs="Times New Roman"/>
          <w:i/>
        </w:rPr>
        <w:t>d.</w:t>
      </w:r>
      <w:r w:rsidRPr="000021B1">
        <w:rPr>
          <w:rFonts w:cs="Times New Roman"/>
          <w:i/>
        </w:rPr>
        <w:t xml:space="preserve"> of Educ., </w:t>
      </w:r>
      <w:r w:rsidRPr="000021B1">
        <w:rPr>
          <w:rFonts w:cs="Times New Roman"/>
        </w:rPr>
        <w:t xml:space="preserve">155 </w:t>
      </w:r>
      <w:r w:rsidRPr="000021B1">
        <w:rPr>
          <w:rFonts w:cs="Times New Roman"/>
          <w:i/>
        </w:rPr>
        <w:t>N.J. Super</w:t>
      </w:r>
      <w:r w:rsidRPr="000021B1">
        <w:rPr>
          <w:rFonts w:cs="Times New Roman"/>
        </w:rPr>
        <w:t>. 64 (App. Div. 1977).</w:t>
      </w:r>
      <w:r>
        <w:rPr>
          <w:rFonts w:cs="Times New Roman"/>
        </w:rPr>
        <w:t xml:space="preserve"> The notice required to be issued by public entities would eventually be referred to as a </w:t>
      </w:r>
      <w:r>
        <w:rPr>
          <w:rFonts w:cs="Times New Roman"/>
          <w:i/>
        </w:rPr>
        <w:t>“Rice Notice.”</w:t>
      </w:r>
    </w:p>
  </w:footnote>
  <w:footnote w:id="10">
    <w:p w:rsidR="004F640C" w:rsidRDefault="004F640C">
      <w:pPr>
        <w:pStyle w:val="FootnoteText"/>
      </w:pPr>
      <w:r>
        <w:rPr>
          <w:rStyle w:val="FootnoteReference"/>
        </w:rPr>
        <w:footnoteRef/>
      </w:r>
      <w:r>
        <w:t xml:space="preserve"> </w:t>
      </w:r>
      <w:r w:rsidRPr="00CA1D47">
        <w:rPr>
          <w:rFonts w:cs="Times New Roman"/>
          <w:i/>
        </w:rPr>
        <w:t xml:space="preserve">Kean </w:t>
      </w:r>
      <w:proofErr w:type="spellStart"/>
      <w:r w:rsidRPr="00CA1D47">
        <w:rPr>
          <w:rFonts w:cs="Times New Roman"/>
          <w:i/>
        </w:rPr>
        <w:t>Fed</w:t>
      </w:r>
      <w:r>
        <w:rPr>
          <w:rFonts w:cs="Times New Roman"/>
          <w:i/>
        </w:rPr>
        <w:t>’n</w:t>
      </w:r>
      <w:proofErr w:type="spellEnd"/>
      <w:r w:rsidRPr="00CA1D47">
        <w:rPr>
          <w:rFonts w:cs="Times New Roman"/>
          <w:i/>
        </w:rPr>
        <w:t xml:space="preserve"> of </w:t>
      </w:r>
      <w:proofErr w:type="spellStart"/>
      <w:r>
        <w:rPr>
          <w:rFonts w:cs="Times New Roman"/>
          <w:i/>
        </w:rPr>
        <w:t>Tchrs</w:t>
      </w:r>
      <w:proofErr w:type="spellEnd"/>
      <w:r>
        <w:rPr>
          <w:rFonts w:cs="Times New Roman"/>
          <w:i/>
        </w:rPr>
        <w:t>.</w:t>
      </w:r>
      <w:r w:rsidRPr="00CA1D47">
        <w:rPr>
          <w:rFonts w:cs="Times New Roman"/>
          <w:i/>
        </w:rPr>
        <w:t xml:space="preserve"> v. Morell</w:t>
      </w:r>
      <w:r>
        <w:rPr>
          <w:rFonts w:cs="Times New Roman"/>
        </w:rPr>
        <w:t>, No. A-84, 2018 WL 3062207 *7 (N.J. June 21, 2018).</w:t>
      </w:r>
    </w:p>
  </w:footnote>
  <w:footnote w:id="11">
    <w:p w:rsidR="004F640C" w:rsidRDefault="004F640C" w:rsidP="00922C9F">
      <w:pPr>
        <w:pStyle w:val="FootnoteText"/>
      </w:pPr>
      <w:r>
        <w:rPr>
          <w:rStyle w:val="FootnoteReference"/>
        </w:rPr>
        <w:footnoteRef/>
      </w:r>
      <w:r>
        <w:t xml:space="preserve"> </w:t>
      </w:r>
      <w:r>
        <w:rPr>
          <w:rFonts w:cs="Times New Roman"/>
          <w:i/>
        </w:rPr>
        <w:t>Id.</w:t>
      </w:r>
      <w:r>
        <w:rPr>
          <w:rFonts w:cs="Times New Roman"/>
        </w:rPr>
        <w:t xml:space="preserve"> at *1.</w:t>
      </w:r>
    </w:p>
  </w:footnote>
  <w:footnote w:id="12">
    <w:p w:rsidR="004F640C" w:rsidRPr="000915FA" w:rsidRDefault="004F640C" w:rsidP="00922C9F">
      <w:pPr>
        <w:pStyle w:val="FootnoteText"/>
      </w:pPr>
      <w:r>
        <w:rPr>
          <w:rStyle w:val="FootnoteReference"/>
        </w:rPr>
        <w:footnoteRef/>
      </w:r>
      <w:r>
        <w:t xml:space="preserve"> </w:t>
      </w:r>
      <w:r>
        <w:rPr>
          <w:i/>
        </w:rPr>
        <w:t xml:space="preserve">Id. </w:t>
      </w:r>
      <w:r>
        <w:t>at *8.</w:t>
      </w:r>
    </w:p>
  </w:footnote>
  <w:footnote w:id="13">
    <w:p w:rsidR="004F640C" w:rsidRPr="0040253C" w:rsidRDefault="004F640C">
      <w:pPr>
        <w:pStyle w:val="FootnoteText"/>
      </w:pPr>
      <w:r>
        <w:rPr>
          <w:rStyle w:val="FootnoteReference"/>
        </w:rPr>
        <w:footnoteRef/>
      </w:r>
      <w:r>
        <w:t xml:space="preserve"> </w:t>
      </w:r>
      <w:r>
        <w:rPr>
          <w:i/>
        </w:rPr>
        <w:t>Id.</w:t>
      </w:r>
    </w:p>
  </w:footnote>
  <w:footnote w:id="14">
    <w:p w:rsidR="004F640C" w:rsidRPr="00983503" w:rsidRDefault="004F640C" w:rsidP="00922C9F">
      <w:pPr>
        <w:pStyle w:val="FootnoteText"/>
        <w:rPr>
          <w:i/>
        </w:rPr>
      </w:pPr>
      <w:r>
        <w:rPr>
          <w:rStyle w:val="FootnoteReference"/>
        </w:rPr>
        <w:footnoteRef/>
      </w:r>
      <w:r>
        <w:t xml:space="preserve"> </w:t>
      </w:r>
      <w:r>
        <w:rPr>
          <w:i/>
        </w:rPr>
        <w:t>Id.</w:t>
      </w:r>
    </w:p>
  </w:footnote>
  <w:footnote w:id="15">
    <w:p w:rsidR="004F640C" w:rsidRPr="00983503" w:rsidRDefault="004F640C" w:rsidP="00922C9F">
      <w:pPr>
        <w:pStyle w:val="FootnoteText"/>
        <w:rPr>
          <w:i/>
        </w:rPr>
      </w:pPr>
      <w:r>
        <w:rPr>
          <w:rStyle w:val="FootnoteReference"/>
        </w:rPr>
        <w:footnoteRef/>
      </w:r>
      <w:r>
        <w:t xml:space="preserve"> </w:t>
      </w:r>
      <w:r>
        <w:rPr>
          <w:i/>
        </w:rPr>
        <w:t>Id.</w:t>
      </w:r>
    </w:p>
  </w:footnote>
  <w:footnote w:id="16">
    <w:p w:rsidR="004F640C" w:rsidRDefault="004F640C" w:rsidP="004732D9">
      <w:pPr>
        <w:pStyle w:val="FootnoteText"/>
      </w:pPr>
      <w:r>
        <w:rPr>
          <w:rStyle w:val="FootnoteReference"/>
        </w:rPr>
        <w:footnoteRef/>
      </w:r>
      <w:r>
        <w:t xml:space="preserve"> </w:t>
      </w:r>
      <w:r w:rsidRPr="00CA1D47">
        <w:rPr>
          <w:rFonts w:cs="Times New Roman"/>
          <w:i/>
        </w:rPr>
        <w:t xml:space="preserve">Kean </w:t>
      </w:r>
      <w:proofErr w:type="spellStart"/>
      <w:r w:rsidRPr="00CA1D47">
        <w:rPr>
          <w:rFonts w:cs="Times New Roman"/>
          <w:i/>
        </w:rPr>
        <w:t>Fed</w:t>
      </w:r>
      <w:r>
        <w:rPr>
          <w:rFonts w:cs="Times New Roman"/>
          <w:i/>
        </w:rPr>
        <w:t>’n</w:t>
      </w:r>
      <w:proofErr w:type="spellEnd"/>
      <w:r w:rsidRPr="00CA1D47">
        <w:rPr>
          <w:rFonts w:cs="Times New Roman"/>
          <w:i/>
        </w:rPr>
        <w:t xml:space="preserve"> of </w:t>
      </w:r>
      <w:proofErr w:type="spellStart"/>
      <w:r>
        <w:rPr>
          <w:rFonts w:cs="Times New Roman"/>
          <w:i/>
        </w:rPr>
        <w:t>Tchrs</w:t>
      </w:r>
      <w:proofErr w:type="spellEnd"/>
      <w:r w:rsidRPr="00CA1D47">
        <w:rPr>
          <w:rFonts w:cs="Times New Roman"/>
          <w:i/>
        </w:rPr>
        <w:t xml:space="preserve"> v. Morell, </w:t>
      </w:r>
      <w:r w:rsidRPr="00CA1D47">
        <w:rPr>
          <w:rFonts w:cs="Times New Roman"/>
        </w:rPr>
        <w:t>448 N.J. Super. 520</w:t>
      </w:r>
      <w:r>
        <w:rPr>
          <w:rFonts w:cs="Times New Roman"/>
        </w:rPr>
        <w:t>, 524</w:t>
      </w:r>
      <w:r w:rsidRPr="00CA1D47">
        <w:rPr>
          <w:rFonts w:cs="Times New Roman"/>
        </w:rPr>
        <w:t xml:space="preserve"> (App. Div. 2017)</w:t>
      </w:r>
    </w:p>
  </w:footnote>
  <w:footnote w:id="17">
    <w:p w:rsidR="004F640C" w:rsidRDefault="004F640C" w:rsidP="004732D9">
      <w:pPr>
        <w:pStyle w:val="FootnoteText"/>
      </w:pPr>
      <w:r>
        <w:rPr>
          <w:rStyle w:val="FootnoteReference"/>
        </w:rPr>
        <w:footnoteRef/>
      </w:r>
      <w:r>
        <w:t xml:space="preserve"> </w:t>
      </w:r>
      <w:r w:rsidRPr="009E3B87">
        <w:rPr>
          <w:i/>
        </w:rPr>
        <w:t>Id.</w:t>
      </w:r>
      <w:r>
        <w:t xml:space="preserve"> </w:t>
      </w:r>
    </w:p>
  </w:footnote>
  <w:footnote w:id="18">
    <w:p w:rsidR="004F640C" w:rsidRDefault="004F640C" w:rsidP="00C677A9">
      <w:pPr>
        <w:pStyle w:val="FootnoteText"/>
      </w:pPr>
      <w:r>
        <w:rPr>
          <w:rStyle w:val="FootnoteReference"/>
        </w:rPr>
        <w:footnoteRef/>
      </w:r>
      <w:r>
        <w:t xml:space="preserve"> </w:t>
      </w:r>
      <w:r>
        <w:rPr>
          <w:rFonts w:cs="Times New Roman"/>
          <w:i/>
        </w:rPr>
        <w:t>Id.</w:t>
      </w:r>
      <w:r w:rsidRPr="00CA1D47">
        <w:rPr>
          <w:rFonts w:cs="Times New Roman"/>
        </w:rPr>
        <w:t xml:space="preserve"> </w:t>
      </w:r>
      <w:r>
        <w:rPr>
          <w:rFonts w:cs="Times New Roman"/>
        </w:rPr>
        <w:t>at 533-534.</w:t>
      </w:r>
    </w:p>
  </w:footnote>
  <w:footnote w:id="19">
    <w:p w:rsidR="004F640C" w:rsidRPr="0005715F" w:rsidRDefault="004F640C">
      <w:pPr>
        <w:pStyle w:val="FootnoteText"/>
      </w:pPr>
      <w:r>
        <w:rPr>
          <w:rStyle w:val="FootnoteReference"/>
        </w:rPr>
        <w:footnoteRef/>
      </w:r>
      <w:r>
        <w:t xml:space="preserve"> </w:t>
      </w:r>
      <w:r>
        <w:rPr>
          <w:i/>
        </w:rPr>
        <w:t>Id.</w:t>
      </w:r>
      <w:r>
        <w:t xml:space="preserve"> at 531.</w:t>
      </w:r>
    </w:p>
  </w:footnote>
  <w:footnote w:id="20">
    <w:p w:rsidR="004F640C" w:rsidRDefault="004F640C" w:rsidP="00922C9F">
      <w:pPr>
        <w:pStyle w:val="FootnoteText"/>
      </w:pPr>
      <w:r>
        <w:rPr>
          <w:rStyle w:val="FootnoteReference"/>
        </w:rPr>
        <w:footnoteRef/>
      </w:r>
      <w:r>
        <w:t xml:space="preserve"> </w:t>
      </w:r>
      <w:r>
        <w:rPr>
          <w:rFonts w:cs="Times New Roman"/>
          <w:i/>
        </w:rPr>
        <w:t>Id.</w:t>
      </w:r>
      <w:r w:rsidRPr="00CA1D47">
        <w:rPr>
          <w:rFonts w:cs="Times New Roman"/>
        </w:rPr>
        <w:t xml:space="preserve"> </w:t>
      </w:r>
      <w:r>
        <w:rPr>
          <w:rFonts w:cs="Times New Roman"/>
        </w:rPr>
        <w:t>at 545.</w:t>
      </w:r>
    </w:p>
  </w:footnote>
  <w:footnote w:id="21">
    <w:p w:rsidR="004F640C" w:rsidRPr="00FE34FE" w:rsidRDefault="004F640C">
      <w:pPr>
        <w:pStyle w:val="FootnoteText"/>
      </w:pPr>
      <w:r>
        <w:rPr>
          <w:rStyle w:val="FootnoteReference"/>
        </w:rPr>
        <w:footnoteRef/>
      </w:r>
      <w:r>
        <w:t xml:space="preserve"> </w:t>
      </w:r>
      <w:r>
        <w:rPr>
          <w:i/>
        </w:rPr>
        <w:t>Id.</w:t>
      </w:r>
      <w:r>
        <w:t xml:space="preserve"> at 540.</w:t>
      </w:r>
    </w:p>
  </w:footnote>
  <w:footnote w:id="22">
    <w:p w:rsidR="004F640C" w:rsidRDefault="004F640C">
      <w:pPr>
        <w:pStyle w:val="FootnoteText"/>
      </w:pPr>
      <w:r>
        <w:rPr>
          <w:rStyle w:val="FootnoteReference"/>
        </w:rPr>
        <w:footnoteRef/>
      </w:r>
      <w:r>
        <w:t xml:space="preserve"> </w:t>
      </w:r>
      <w:r w:rsidRPr="005E3868">
        <w:rPr>
          <w:i/>
        </w:rPr>
        <w:t>Id.</w:t>
      </w:r>
      <w:r>
        <w:t xml:space="preserve"> </w:t>
      </w:r>
    </w:p>
  </w:footnote>
  <w:footnote w:id="23">
    <w:p w:rsidR="004F640C" w:rsidRDefault="004F640C">
      <w:pPr>
        <w:pStyle w:val="FootnoteText"/>
      </w:pPr>
      <w:r>
        <w:rPr>
          <w:rStyle w:val="FootnoteReference"/>
        </w:rPr>
        <w:footnoteRef/>
      </w:r>
      <w:r>
        <w:t xml:space="preserve"> </w:t>
      </w:r>
      <w:r w:rsidRPr="00073CE1">
        <w:rPr>
          <w:i/>
        </w:rPr>
        <w:t>Id.</w:t>
      </w:r>
      <w:r>
        <w:t xml:space="preserve"> at 544.</w:t>
      </w:r>
    </w:p>
  </w:footnote>
  <w:footnote w:id="24">
    <w:p w:rsidR="004F640C" w:rsidRPr="00CE6509" w:rsidRDefault="004F640C" w:rsidP="00CE6509">
      <w:pPr>
        <w:pStyle w:val="FootnoteText"/>
      </w:pPr>
      <w:r>
        <w:rPr>
          <w:rStyle w:val="FootnoteReference"/>
        </w:rPr>
        <w:footnoteRef/>
      </w:r>
      <w:r>
        <w:t xml:space="preserve"> </w:t>
      </w:r>
      <w:r>
        <w:rPr>
          <w:i/>
        </w:rPr>
        <w:t>Id</w:t>
      </w:r>
      <w:r>
        <w:t>. at 543. (Emphasis original).</w:t>
      </w:r>
    </w:p>
  </w:footnote>
  <w:footnote w:id="25">
    <w:p w:rsidR="004F640C" w:rsidRPr="00994034" w:rsidRDefault="004F640C">
      <w:pPr>
        <w:pStyle w:val="FootnoteText"/>
      </w:pPr>
      <w:r>
        <w:rPr>
          <w:rStyle w:val="FootnoteReference"/>
        </w:rPr>
        <w:footnoteRef/>
      </w:r>
      <w:r>
        <w:t xml:space="preserve"> </w:t>
      </w:r>
      <w:r>
        <w:rPr>
          <w:i/>
        </w:rPr>
        <w:t xml:space="preserve">Id. </w:t>
      </w:r>
      <w:r>
        <w:t>at 544.</w:t>
      </w:r>
    </w:p>
  </w:footnote>
  <w:footnote w:id="26">
    <w:p w:rsidR="004F640C" w:rsidRPr="00994034" w:rsidRDefault="004F640C">
      <w:pPr>
        <w:pStyle w:val="FootnoteText"/>
      </w:pPr>
      <w:r>
        <w:rPr>
          <w:rStyle w:val="FootnoteReference"/>
        </w:rPr>
        <w:footnoteRef/>
      </w:r>
      <w:r>
        <w:t xml:space="preserve"> </w:t>
      </w:r>
      <w:r>
        <w:rPr>
          <w:i/>
        </w:rPr>
        <w:t>Id.</w:t>
      </w:r>
      <w:r>
        <w:t xml:space="preserve"> </w:t>
      </w:r>
    </w:p>
  </w:footnote>
  <w:footnote w:id="27">
    <w:p w:rsidR="004F640C" w:rsidRPr="009A17B2" w:rsidRDefault="004F640C" w:rsidP="00EC0EAB">
      <w:pPr>
        <w:pStyle w:val="FootnoteText"/>
      </w:pPr>
      <w:r>
        <w:rPr>
          <w:rStyle w:val="FootnoteReference"/>
        </w:rPr>
        <w:footnoteRef/>
      </w:r>
      <w:r>
        <w:t xml:space="preserve"> </w:t>
      </w:r>
      <w:r w:rsidRPr="00CA1D47">
        <w:rPr>
          <w:rFonts w:cs="Times New Roman"/>
          <w:i/>
        </w:rPr>
        <w:t xml:space="preserve">Kean </w:t>
      </w:r>
      <w:proofErr w:type="spellStart"/>
      <w:r w:rsidRPr="00CA1D47">
        <w:rPr>
          <w:rFonts w:cs="Times New Roman"/>
          <w:i/>
        </w:rPr>
        <w:t>Fed</w:t>
      </w:r>
      <w:r>
        <w:rPr>
          <w:rFonts w:cs="Times New Roman"/>
          <w:i/>
        </w:rPr>
        <w:t>’n</w:t>
      </w:r>
      <w:proofErr w:type="spellEnd"/>
      <w:r w:rsidRPr="00CA1D47">
        <w:rPr>
          <w:rFonts w:cs="Times New Roman"/>
          <w:i/>
        </w:rPr>
        <w:t xml:space="preserve"> of </w:t>
      </w:r>
      <w:proofErr w:type="spellStart"/>
      <w:r>
        <w:rPr>
          <w:rFonts w:cs="Times New Roman"/>
          <w:i/>
        </w:rPr>
        <w:t>Tchrs</w:t>
      </w:r>
      <w:proofErr w:type="spellEnd"/>
      <w:r>
        <w:rPr>
          <w:rFonts w:cs="Times New Roman"/>
          <w:i/>
        </w:rPr>
        <w:t>.</w:t>
      </w:r>
      <w:r w:rsidRPr="00CA1D47">
        <w:rPr>
          <w:rFonts w:cs="Times New Roman"/>
          <w:i/>
        </w:rPr>
        <w:t xml:space="preserve"> v. Morell</w:t>
      </w:r>
      <w:r>
        <w:rPr>
          <w:rFonts w:cs="Times New Roman"/>
        </w:rPr>
        <w:t xml:space="preserve">, No. A-84, 2018 WL 3062207 *1 (N.J. June 21, 2018). </w:t>
      </w:r>
    </w:p>
  </w:footnote>
  <w:footnote w:id="28">
    <w:p w:rsidR="004F640C" w:rsidRDefault="004F640C" w:rsidP="00EC0EAB">
      <w:pPr>
        <w:pStyle w:val="FootnoteText"/>
      </w:pPr>
      <w:r>
        <w:rPr>
          <w:rStyle w:val="FootnoteReference"/>
        </w:rPr>
        <w:footnoteRef/>
      </w:r>
      <w:r>
        <w:t xml:space="preserve"> </w:t>
      </w:r>
      <w:r w:rsidRPr="00CA1D47">
        <w:rPr>
          <w:rFonts w:cs="Times New Roman"/>
          <w:i/>
        </w:rPr>
        <w:t xml:space="preserve">Kean </w:t>
      </w:r>
      <w:proofErr w:type="spellStart"/>
      <w:r w:rsidRPr="00CA1D47">
        <w:rPr>
          <w:rFonts w:cs="Times New Roman"/>
          <w:i/>
        </w:rPr>
        <w:t>Fed</w:t>
      </w:r>
      <w:r>
        <w:rPr>
          <w:rFonts w:cs="Times New Roman"/>
          <w:i/>
        </w:rPr>
        <w:t>’n</w:t>
      </w:r>
      <w:proofErr w:type="spellEnd"/>
      <w:r w:rsidRPr="00CA1D47">
        <w:rPr>
          <w:rFonts w:cs="Times New Roman"/>
          <w:i/>
        </w:rPr>
        <w:t xml:space="preserve"> of </w:t>
      </w:r>
      <w:proofErr w:type="spellStart"/>
      <w:r>
        <w:rPr>
          <w:rFonts w:cs="Times New Roman"/>
          <w:i/>
        </w:rPr>
        <w:t>Tchrs</w:t>
      </w:r>
      <w:proofErr w:type="spellEnd"/>
      <w:r w:rsidRPr="00CA1D47">
        <w:rPr>
          <w:rFonts w:cs="Times New Roman"/>
          <w:i/>
        </w:rPr>
        <w:t xml:space="preserve"> v. Morell</w:t>
      </w:r>
      <w:r>
        <w:rPr>
          <w:i/>
        </w:rPr>
        <w:t xml:space="preserve">, </w:t>
      </w:r>
      <w:r>
        <w:t>230 N.J. 524 (2017).</w:t>
      </w:r>
    </w:p>
  </w:footnote>
  <w:footnote w:id="29">
    <w:p w:rsidR="004F640C" w:rsidRPr="001B4E2E" w:rsidRDefault="004F640C" w:rsidP="001B4E2E">
      <w:pPr>
        <w:pStyle w:val="FootnoteText"/>
      </w:pPr>
      <w:r>
        <w:rPr>
          <w:rStyle w:val="FootnoteReference"/>
        </w:rPr>
        <w:footnoteRef/>
      </w:r>
      <w:r>
        <w:t xml:space="preserve"> </w:t>
      </w:r>
      <w:r w:rsidRPr="00CA1D47">
        <w:rPr>
          <w:rFonts w:cs="Times New Roman"/>
          <w:i/>
        </w:rPr>
        <w:t xml:space="preserve">Kean </w:t>
      </w:r>
      <w:proofErr w:type="spellStart"/>
      <w:r w:rsidRPr="00CA1D47">
        <w:rPr>
          <w:rFonts w:cs="Times New Roman"/>
          <w:i/>
        </w:rPr>
        <w:t>Fed</w:t>
      </w:r>
      <w:r>
        <w:rPr>
          <w:rFonts w:cs="Times New Roman"/>
          <w:i/>
        </w:rPr>
        <w:t>’n</w:t>
      </w:r>
      <w:proofErr w:type="spellEnd"/>
      <w:r>
        <w:rPr>
          <w:rFonts w:cs="Times New Roman"/>
        </w:rPr>
        <w:t>, No. A-84, 2018 WL 3062207 at *10.</w:t>
      </w:r>
    </w:p>
  </w:footnote>
  <w:footnote w:id="30">
    <w:p w:rsidR="004F640C" w:rsidRPr="00094622" w:rsidRDefault="004F640C">
      <w:pPr>
        <w:pStyle w:val="FootnoteText"/>
      </w:pPr>
      <w:r>
        <w:rPr>
          <w:rStyle w:val="FootnoteReference"/>
        </w:rPr>
        <w:footnoteRef/>
      </w:r>
      <w:r>
        <w:t xml:space="preserve"> </w:t>
      </w:r>
      <w:r>
        <w:rPr>
          <w:rFonts w:cs="Times New Roman"/>
          <w:i/>
        </w:rPr>
        <w:t>Id.</w:t>
      </w:r>
      <w:r>
        <w:rPr>
          <w:rFonts w:cs="Times New Roman"/>
        </w:rPr>
        <w:t xml:space="preserve"> at *5. </w:t>
      </w:r>
    </w:p>
  </w:footnote>
  <w:footnote w:id="31">
    <w:p w:rsidR="004F640C" w:rsidRPr="006123DB" w:rsidRDefault="004F640C">
      <w:pPr>
        <w:pStyle w:val="FootnoteText"/>
      </w:pPr>
      <w:r>
        <w:rPr>
          <w:rStyle w:val="FootnoteReference"/>
        </w:rPr>
        <w:footnoteRef/>
      </w:r>
      <w:r>
        <w:t xml:space="preserve"> </w:t>
      </w:r>
      <w:r>
        <w:rPr>
          <w:i/>
        </w:rPr>
        <w:t>Id</w:t>
      </w:r>
      <w:r>
        <w:t xml:space="preserve">. at 4, </w:t>
      </w:r>
      <w:r w:rsidRPr="006123DB">
        <w:rPr>
          <w:i/>
        </w:rPr>
        <w:t>citing</w:t>
      </w:r>
      <w:r>
        <w:t xml:space="preserve"> N.J.S. 10:4-12(a).</w:t>
      </w:r>
    </w:p>
  </w:footnote>
  <w:footnote w:id="32">
    <w:p w:rsidR="004F640C" w:rsidRPr="002E2AFD" w:rsidRDefault="004F640C">
      <w:pPr>
        <w:pStyle w:val="FootnoteText"/>
      </w:pPr>
      <w:r>
        <w:rPr>
          <w:rStyle w:val="FootnoteReference"/>
        </w:rPr>
        <w:footnoteRef/>
      </w:r>
      <w:r>
        <w:t xml:space="preserve"> </w:t>
      </w:r>
      <w:r>
        <w:rPr>
          <w:i/>
        </w:rPr>
        <w:t>Id.</w:t>
      </w:r>
    </w:p>
  </w:footnote>
  <w:footnote w:id="33">
    <w:p w:rsidR="004F640C" w:rsidRDefault="004F640C">
      <w:pPr>
        <w:pStyle w:val="FootnoteText"/>
      </w:pPr>
      <w:r>
        <w:rPr>
          <w:rStyle w:val="FootnoteReference"/>
        </w:rPr>
        <w:footnoteRef/>
      </w:r>
      <w:r>
        <w:t xml:space="preserve"> N.J.S. 10:4-12(b)(8). </w:t>
      </w:r>
    </w:p>
  </w:footnote>
  <w:footnote w:id="34">
    <w:p w:rsidR="004F640C" w:rsidRDefault="004F640C">
      <w:pPr>
        <w:pStyle w:val="FootnoteText"/>
      </w:pPr>
      <w:r>
        <w:rPr>
          <w:rStyle w:val="FootnoteReference"/>
        </w:rPr>
        <w:footnoteRef/>
      </w:r>
      <w:r>
        <w:t xml:space="preserve"> </w:t>
      </w:r>
      <w:r w:rsidRPr="00CA1D47">
        <w:rPr>
          <w:rFonts w:cs="Times New Roman"/>
          <w:i/>
        </w:rPr>
        <w:t xml:space="preserve">Kean </w:t>
      </w:r>
      <w:proofErr w:type="spellStart"/>
      <w:r w:rsidRPr="00CA1D47">
        <w:rPr>
          <w:rFonts w:cs="Times New Roman"/>
          <w:i/>
        </w:rPr>
        <w:t>Fed</w:t>
      </w:r>
      <w:r>
        <w:rPr>
          <w:rFonts w:cs="Times New Roman"/>
          <w:i/>
        </w:rPr>
        <w:t>’n</w:t>
      </w:r>
      <w:proofErr w:type="spellEnd"/>
      <w:r>
        <w:rPr>
          <w:rFonts w:cs="Times New Roman"/>
        </w:rPr>
        <w:t xml:space="preserve">, No. A-84, 2018 WL 3062207 at *10. </w:t>
      </w:r>
    </w:p>
  </w:footnote>
  <w:footnote w:id="35">
    <w:p w:rsidR="004F640C" w:rsidRDefault="004F640C">
      <w:pPr>
        <w:pStyle w:val="FootnoteText"/>
      </w:pPr>
      <w:r>
        <w:rPr>
          <w:rStyle w:val="FootnoteReference"/>
        </w:rPr>
        <w:footnoteRef/>
      </w:r>
      <w:r>
        <w:t xml:space="preserve"> N.J.S. 10:4-12(b</w:t>
      </w:r>
      <w:proofErr w:type="gramStart"/>
      <w:r>
        <w:t>)(</w:t>
      </w:r>
      <w:proofErr w:type="gramEnd"/>
      <w:r>
        <w:t>8).</w:t>
      </w:r>
    </w:p>
  </w:footnote>
  <w:footnote w:id="36">
    <w:p w:rsidR="004F640C" w:rsidRDefault="004F640C">
      <w:pPr>
        <w:pStyle w:val="FootnoteText"/>
      </w:pPr>
      <w:r>
        <w:rPr>
          <w:rStyle w:val="FootnoteReference"/>
        </w:rPr>
        <w:footnoteRef/>
      </w:r>
      <w:r>
        <w:t xml:space="preserve"> </w:t>
      </w:r>
      <w:r w:rsidRPr="00CA1D47">
        <w:rPr>
          <w:rFonts w:cs="Times New Roman"/>
          <w:i/>
        </w:rPr>
        <w:t xml:space="preserve">Kean </w:t>
      </w:r>
      <w:proofErr w:type="spellStart"/>
      <w:r w:rsidRPr="00CA1D47">
        <w:rPr>
          <w:rFonts w:cs="Times New Roman"/>
          <w:i/>
        </w:rPr>
        <w:t>Fed</w:t>
      </w:r>
      <w:r>
        <w:rPr>
          <w:rFonts w:cs="Times New Roman"/>
          <w:i/>
        </w:rPr>
        <w:t>’n</w:t>
      </w:r>
      <w:proofErr w:type="spellEnd"/>
      <w:r>
        <w:rPr>
          <w:rFonts w:cs="Times New Roman"/>
        </w:rPr>
        <w:t>, No. A-84, 2018 WL 3062207 at *4.</w:t>
      </w:r>
    </w:p>
  </w:footnote>
  <w:footnote w:id="37">
    <w:p w:rsidR="004F640C" w:rsidRPr="007A5D8C" w:rsidRDefault="004F640C">
      <w:pPr>
        <w:pStyle w:val="FootnoteText"/>
        <w:rPr>
          <w:i/>
        </w:rPr>
      </w:pPr>
      <w:r>
        <w:rPr>
          <w:rStyle w:val="FootnoteReference"/>
        </w:rPr>
        <w:footnoteRef/>
      </w:r>
      <w:r>
        <w:t xml:space="preserve"> </w:t>
      </w:r>
      <w:r>
        <w:rPr>
          <w:i/>
        </w:rPr>
        <w:t>Id.</w:t>
      </w:r>
    </w:p>
  </w:footnote>
  <w:footnote w:id="38">
    <w:p w:rsidR="004F640C" w:rsidRPr="00750C28" w:rsidRDefault="004F640C">
      <w:pPr>
        <w:pStyle w:val="FootnoteText"/>
        <w:rPr>
          <w:i/>
        </w:rPr>
      </w:pPr>
      <w:r>
        <w:rPr>
          <w:rStyle w:val="FootnoteReference"/>
        </w:rPr>
        <w:footnoteRef/>
      </w:r>
      <w:r>
        <w:t xml:space="preserve"> </w:t>
      </w:r>
      <w:r>
        <w:rPr>
          <w:rFonts w:cs="Times New Roman"/>
          <w:i/>
        </w:rPr>
        <w:t>Id.</w:t>
      </w:r>
      <w:r>
        <w:rPr>
          <w:rFonts w:cs="Times New Roman"/>
        </w:rPr>
        <w:t xml:space="preserve">, </w:t>
      </w:r>
      <w:r>
        <w:rPr>
          <w:i/>
        </w:rPr>
        <w:t xml:space="preserve">citing </w:t>
      </w:r>
      <w:r w:rsidRPr="000021B1">
        <w:rPr>
          <w:rFonts w:cs="Times New Roman"/>
          <w:i/>
        </w:rPr>
        <w:t xml:space="preserve">Rice v. Union </w:t>
      </w:r>
      <w:proofErr w:type="spellStart"/>
      <w:r w:rsidRPr="000021B1">
        <w:rPr>
          <w:rFonts w:cs="Times New Roman"/>
          <w:i/>
        </w:rPr>
        <w:t>Cnty</w:t>
      </w:r>
      <w:proofErr w:type="spellEnd"/>
      <w:r>
        <w:rPr>
          <w:rFonts w:cs="Times New Roman"/>
          <w:i/>
        </w:rPr>
        <w:t>.</w:t>
      </w:r>
      <w:r w:rsidRPr="000021B1">
        <w:rPr>
          <w:rFonts w:cs="Times New Roman"/>
          <w:i/>
        </w:rPr>
        <w:t xml:space="preserve"> Re</w:t>
      </w:r>
      <w:r>
        <w:rPr>
          <w:rFonts w:cs="Times New Roman"/>
          <w:i/>
        </w:rPr>
        <w:t>g’</w:t>
      </w:r>
      <w:r w:rsidRPr="000021B1">
        <w:rPr>
          <w:rFonts w:cs="Times New Roman"/>
          <w:i/>
        </w:rPr>
        <w:t>l High Sch</w:t>
      </w:r>
      <w:r>
        <w:rPr>
          <w:rFonts w:cs="Times New Roman"/>
          <w:i/>
        </w:rPr>
        <w:t>.</w:t>
      </w:r>
      <w:r w:rsidRPr="000021B1">
        <w:rPr>
          <w:rFonts w:cs="Times New Roman"/>
          <w:i/>
        </w:rPr>
        <w:t xml:space="preserve"> B</w:t>
      </w:r>
      <w:r>
        <w:rPr>
          <w:rFonts w:cs="Times New Roman"/>
          <w:i/>
        </w:rPr>
        <w:t>d.</w:t>
      </w:r>
      <w:r w:rsidRPr="000021B1">
        <w:rPr>
          <w:rFonts w:cs="Times New Roman"/>
          <w:i/>
        </w:rPr>
        <w:t xml:space="preserve"> of Educ., </w:t>
      </w:r>
      <w:r w:rsidRPr="000021B1">
        <w:rPr>
          <w:rFonts w:cs="Times New Roman"/>
        </w:rPr>
        <w:t xml:space="preserve">155 </w:t>
      </w:r>
      <w:r w:rsidRPr="000021B1">
        <w:rPr>
          <w:rFonts w:cs="Times New Roman"/>
          <w:i/>
        </w:rPr>
        <w:t>N.J. Super</w:t>
      </w:r>
      <w:r w:rsidRPr="000021B1">
        <w:rPr>
          <w:rFonts w:cs="Times New Roman"/>
        </w:rPr>
        <w:t>. 64 (App. Div. 1977).</w:t>
      </w:r>
    </w:p>
  </w:footnote>
  <w:footnote w:id="39">
    <w:p w:rsidR="004F640C" w:rsidRDefault="004F640C">
      <w:pPr>
        <w:pStyle w:val="FootnoteText"/>
      </w:pPr>
      <w:r>
        <w:rPr>
          <w:rStyle w:val="FootnoteReference"/>
        </w:rPr>
        <w:footnoteRef/>
      </w:r>
      <w:r>
        <w:t xml:space="preserve"> </w:t>
      </w:r>
      <w:r>
        <w:rPr>
          <w:i/>
        </w:rPr>
        <w:t xml:space="preserve">Id. </w:t>
      </w:r>
      <w:r>
        <w:t>at *11.</w:t>
      </w:r>
    </w:p>
  </w:footnote>
  <w:footnote w:id="40">
    <w:p w:rsidR="004F640C" w:rsidRPr="00FF2C9E" w:rsidRDefault="004F640C">
      <w:pPr>
        <w:pStyle w:val="FootnoteText"/>
      </w:pPr>
      <w:r>
        <w:rPr>
          <w:rStyle w:val="FootnoteReference"/>
        </w:rPr>
        <w:footnoteRef/>
      </w:r>
      <w:r>
        <w:t xml:space="preserve"> </w:t>
      </w:r>
      <w:r>
        <w:rPr>
          <w:i/>
        </w:rPr>
        <w:t xml:space="preserve">Id. </w:t>
      </w:r>
      <w:r w:rsidRPr="008A59B0">
        <w:t>(</w:t>
      </w:r>
      <w:r>
        <w:t xml:space="preserve">Emphasis original). </w:t>
      </w:r>
    </w:p>
  </w:footnote>
  <w:footnote w:id="41">
    <w:p w:rsidR="004F640C" w:rsidRPr="008A59B0" w:rsidRDefault="004F640C">
      <w:pPr>
        <w:pStyle w:val="FootnoteText"/>
      </w:pPr>
      <w:r>
        <w:rPr>
          <w:rStyle w:val="FootnoteReference"/>
        </w:rPr>
        <w:footnoteRef/>
      </w:r>
      <w:r>
        <w:t xml:space="preserve"> </w:t>
      </w:r>
      <w:r>
        <w:rPr>
          <w:i/>
        </w:rPr>
        <w:t xml:space="preserve">Id. </w:t>
      </w:r>
    </w:p>
  </w:footnote>
  <w:footnote w:id="42">
    <w:p w:rsidR="004F640C" w:rsidRPr="00823A82" w:rsidRDefault="004F640C">
      <w:pPr>
        <w:pStyle w:val="FootnoteText"/>
      </w:pPr>
      <w:r>
        <w:rPr>
          <w:rStyle w:val="FootnoteReference"/>
        </w:rPr>
        <w:footnoteRef/>
      </w:r>
      <w:r>
        <w:t xml:space="preserve"> </w:t>
      </w:r>
      <w:r>
        <w:rPr>
          <w:i/>
        </w:rPr>
        <w:t xml:space="preserve">Id. </w:t>
      </w:r>
      <w:r>
        <w:t>at *12.</w:t>
      </w:r>
    </w:p>
  </w:footnote>
  <w:footnote w:id="43">
    <w:p w:rsidR="004F640C" w:rsidRPr="00305820" w:rsidRDefault="004F640C">
      <w:pPr>
        <w:pStyle w:val="FootnoteText"/>
      </w:pPr>
      <w:r>
        <w:rPr>
          <w:rStyle w:val="FootnoteReference"/>
        </w:rPr>
        <w:footnoteRef/>
      </w:r>
      <w:r>
        <w:t xml:space="preserve"> </w:t>
      </w:r>
      <w:r>
        <w:rPr>
          <w:i/>
        </w:rPr>
        <w:t xml:space="preserve">Id. </w:t>
      </w:r>
      <w:r>
        <w:t>at *13.</w:t>
      </w:r>
    </w:p>
  </w:footnote>
  <w:footnote w:id="44">
    <w:p w:rsidR="004F640C" w:rsidRDefault="004F640C">
      <w:pPr>
        <w:pStyle w:val="FootnoteText"/>
      </w:pPr>
      <w:r>
        <w:rPr>
          <w:rStyle w:val="FootnoteReference"/>
        </w:rPr>
        <w:footnoteRef/>
      </w:r>
      <w:r>
        <w:t xml:space="preserve"> N.J.S. 10:4-14.</w:t>
      </w:r>
    </w:p>
  </w:footnote>
  <w:footnote w:id="45">
    <w:p w:rsidR="004F640C" w:rsidRDefault="004F640C">
      <w:pPr>
        <w:pStyle w:val="FootnoteText"/>
      </w:pPr>
      <w:r>
        <w:rPr>
          <w:rStyle w:val="FootnoteReference"/>
        </w:rPr>
        <w:footnoteRef/>
      </w:r>
      <w:r>
        <w:t xml:space="preserve"> </w:t>
      </w:r>
      <w:r w:rsidRPr="00CA1D47">
        <w:rPr>
          <w:rFonts w:cs="Times New Roman"/>
          <w:i/>
        </w:rPr>
        <w:t xml:space="preserve">Kean </w:t>
      </w:r>
      <w:proofErr w:type="spellStart"/>
      <w:r w:rsidRPr="00CA1D47">
        <w:rPr>
          <w:rFonts w:cs="Times New Roman"/>
          <w:i/>
        </w:rPr>
        <w:t>Fed</w:t>
      </w:r>
      <w:r>
        <w:rPr>
          <w:rFonts w:cs="Times New Roman"/>
          <w:i/>
        </w:rPr>
        <w:t>’n</w:t>
      </w:r>
      <w:proofErr w:type="spellEnd"/>
      <w:r>
        <w:rPr>
          <w:rFonts w:cs="Times New Roman"/>
        </w:rPr>
        <w:t>, No. A-84, 2018 WL 3062207 at *13.</w:t>
      </w:r>
    </w:p>
  </w:footnote>
  <w:footnote w:id="46">
    <w:p w:rsidR="004F640C" w:rsidRPr="00406E30" w:rsidRDefault="004F640C">
      <w:pPr>
        <w:pStyle w:val="FootnoteText"/>
      </w:pPr>
      <w:r>
        <w:rPr>
          <w:rStyle w:val="FootnoteReference"/>
        </w:rPr>
        <w:footnoteRef/>
      </w:r>
      <w:r>
        <w:t xml:space="preserve"> </w:t>
      </w:r>
      <w:r>
        <w:rPr>
          <w:i/>
        </w:rPr>
        <w:t xml:space="preserve">Id. </w:t>
      </w:r>
      <w:r>
        <w:t>at *13.</w:t>
      </w:r>
    </w:p>
  </w:footnote>
  <w:footnote w:id="47">
    <w:p w:rsidR="004F640C" w:rsidRPr="009A47A2" w:rsidRDefault="004F640C">
      <w:pPr>
        <w:pStyle w:val="FootnoteText"/>
      </w:pPr>
      <w:r>
        <w:rPr>
          <w:rStyle w:val="FootnoteReference"/>
        </w:rPr>
        <w:footnoteRef/>
      </w:r>
      <w:r>
        <w:t xml:space="preserve"> </w:t>
      </w:r>
      <w:r>
        <w:rPr>
          <w:i/>
        </w:rPr>
        <w:t>Id.</w:t>
      </w:r>
      <w:r>
        <w:t xml:space="preserve"> </w:t>
      </w:r>
    </w:p>
  </w:footnote>
  <w:footnote w:id="48">
    <w:p w:rsidR="004F640C" w:rsidRDefault="004F640C">
      <w:pPr>
        <w:pStyle w:val="FootnoteText"/>
      </w:pPr>
      <w:r>
        <w:rPr>
          <w:rStyle w:val="FootnoteReference"/>
        </w:rPr>
        <w:footnoteRef/>
      </w:r>
      <w:r>
        <w:t xml:space="preserve"> </w:t>
      </w:r>
      <w:r w:rsidRPr="00B6022A">
        <w:rPr>
          <w:i/>
        </w:rPr>
        <w:t>Id.</w:t>
      </w:r>
      <w:r>
        <w:t xml:space="preserve"> at *15.</w:t>
      </w:r>
    </w:p>
  </w:footnote>
  <w:footnote w:id="49">
    <w:p w:rsidR="004F640C" w:rsidRPr="00B6022A" w:rsidRDefault="004F640C">
      <w:pPr>
        <w:pStyle w:val="FootnoteText"/>
      </w:pPr>
      <w:r>
        <w:rPr>
          <w:rStyle w:val="FootnoteReference"/>
        </w:rPr>
        <w:footnoteRef/>
      </w:r>
      <w:r>
        <w:t xml:space="preserve"> </w:t>
      </w:r>
      <w:r>
        <w:rPr>
          <w:i/>
        </w:rPr>
        <w:t>Id.</w:t>
      </w:r>
    </w:p>
  </w:footnote>
  <w:footnote w:id="50">
    <w:p w:rsidR="004F640C" w:rsidRPr="009C3216" w:rsidRDefault="004F640C">
      <w:pPr>
        <w:pStyle w:val="FootnoteText"/>
      </w:pPr>
      <w:r>
        <w:rPr>
          <w:rStyle w:val="FootnoteReference"/>
        </w:rPr>
        <w:footnoteRef/>
      </w:r>
      <w:r>
        <w:t xml:space="preserve"> </w:t>
      </w:r>
      <w:r>
        <w:rPr>
          <w:i/>
        </w:rPr>
        <w:t xml:space="preserve">Id. </w:t>
      </w:r>
      <w:r>
        <w:t>at *14.</w:t>
      </w:r>
    </w:p>
  </w:footnote>
  <w:footnote w:id="51">
    <w:p w:rsidR="004F640C" w:rsidRPr="00B6022A" w:rsidRDefault="004F640C">
      <w:pPr>
        <w:pStyle w:val="FootnoteText"/>
      </w:pPr>
      <w:r>
        <w:rPr>
          <w:rStyle w:val="FootnoteReference"/>
        </w:rPr>
        <w:footnoteRef/>
      </w:r>
      <w:r>
        <w:t xml:space="preserve"> </w:t>
      </w:r>
      <w:r>
        <w:rPr>
          <w:i/>
        </w:rPr>
        <w:t>Id.</w:t>
      </w:r>
      <w:r>
        <w:t xml:space="preserve"> at *15.</w:t>
      </w:r>
    </w:p>
  </w:footnote>
  <w:footnote w:id="52">
    <w:p w:rsidR="004F640C" w:rsidRPr="000B7A01" w:rsidRDefault="004F640C">
      <w:pPr>
        <w:pStyle w:val="FootnoteText"/>
      </w:pPr>
      <w:r>
        <w:rPr>
          <w:rStyle w:val="FootnoteReference"/>
        </w:rPr>
        <w:footnoteRef/>
      </w:r>
      <w:r>
        <w:t xml:space="preserve"> </w:t>
      </w:r>
      <w:r>
        <w:rPr>
          <w:i/>
        </w:rPr>
        <w:t>Id.</w:t>
      </w:r>
      <w:r>
        <w:t xml:space="preserve"> </w:t>
      </w:r>
    </w:p>
  </w:footnote>
  <w:footnote w:id="53">
    <w:p w:rsidR="004F640C" w:rsidRDefault="004F640C">
      <w:pPr>
        <w:pStyle w:val="FootnoteText"/>
      </w:pPr>
      <w:r>
        <w:rPr>
          <w:rStyle w:val="FootnoteReference"/>
        </w:rPr>
        <w:footnoteRef/>
      </w:r>
      <w:r>
        <w:t xml:space="preserve"> </w:t>
      </w:r>
      <w:r w:rsidRPr="000B7A01">
        <w:rPr>
          <w:i/>
        </w:rPr>
        <w:t>Id.</w:t>
      </w:r>
    </w:p>
  </w:footnote>
  <w:footnote w:id="54">
    <w:p w:rsidR="004F640C" w:rsidRPr="000B7A01" w:rsidRDefault="004F640C">
      <w:pPr>
        <w:pStyle w:val="FootnoteText"/>
        <w:rPr>
          <w:i/>
        </w:rPr>
      </w:pPr>
      <w:r>
        <w:rPr>
          <w:rStyle w:val="FootnoteReference"/>
        </w:rPr>
        <w:footnoteRef/>
      </w:r>
      <w:r>
        <w:t xml:space="preserve"> </w:t>
      </w:r>
      <w:r>
        <w:rPr>
          <w:i/>
        </w:rPr>
        <w:t>Id.</w:t>
      </w:r>
    </w:p>
  </w:footnote>
  <w:footnote w:id="55">
    <w:p w:rsidR="004F640C" w:rsidRPr="001D0C57" w:rsidRDefault="004F640C">
      <w:pPr>
        <w:pStyle w:val="FootnoteText"/>
      </w:pPr>
      <w:r>
        <w:rPr>
          <w:rStyle w:val="FootnoteReference"/>
        </w:rPr>
        <w:footnoteRef/>
      </w:r>
      <w:r>
        <w:t xml:space="preserve"> S1045, 2016 Leg., 217</w:t>
      </w:r>
      <w:r w:rsidRPr="00CD771F">
        <w:rPr>
          <w:vertAlign w:val="superscript"/>
        </w:rPr>
        <w:t>th</w:t>
      </w:r>
      <w:r>
        <w:t xml:space="preserve"> Leg. (N.J. 2016) </w:t>
      </w:r>
      <w:r>
        <w:rPr>
          <w:i/>
        </w:rPr>
        <w:t xml:space="preserve">and </w:t>
      </w:r>
      <w:r>
        <w:t>A2699, 2016 Leg., 2017</w:t>
      </w:r>
      <w:r w:rsidRPr="00CD771F">
        <w:rPr>
          <w:vertAlign w:val="superscript"/>
        </w:rPr>
        <w:t>th</w:t>
      </w:r>
      <w:r>
        <w:t xml:space="preserve"> Leg. (N.J. 2016); </w:t>
      </w:r>
      <w:r>
        <w:rPr>
          <w:i/>
        </w:rPr>
        <w:t xml:space="preserve">see also, </w:t>
      </w:r>
      <w:r>
        <w:t xml:space="preserve">S106, 2018 Leg., </w:t>
      </w:r>
      <w:proofErr w:type="gramStart"/>
      <w:r>
        <w:t>218</w:t>
      </w:r>
      <w:r w:rsidRPr="001D0C57">
        <w:rPr>
          <w:vertAlign w:val="superscript"/>
        </w:rPr>
        <w:t>th</w:t>
      </w:r>
      <w:proofErr w:type="gramEnd"/>
      <w:r>
        <w:t xml:space="preserve"> Leg. (N.J. 2018) and A1019, 2018 Leg. 218</w:t>
      </w:r>
      <w:r w:rsidRPr="00347DE7">
        <w:rPr>
          <w:vertAlign w:val="superscript"/>
        </w:rPr>
        <w:t>th</w:t>
      </w:r>
      <w:r>
        <w:t xml:space="preserve"> Leg. (N.J. 2018), introduced January 09, 2018. </w:t>
      </w:r>
    </w:p>
  </w:footnote>
  <w:footnote w:id="56">
    <w:p w:rsidR="008F27F3" w:rsidRPr="008F27F3" w:rsidRDefault="008F27F3">
      <w:pPr>
        <w:pStyle w:val="FootnoteText"/>
        <w:rPr>
          <w:i/>
        </w:rPr>
      </w:pPr>
      <w:r>
        <w:rPr>
          <w:rStyle w:val="FootnoteReference"/>
        </w:rPr>
        <w:footnoteRef/>
      </w:r>
      <w:r>
        <w:t xml:space="preserve"> </w:t>
      </w:r>
      <w:r>
        <w:rPr>
          <w:i/>
        </w:rPr>
        <w:t>Id.</w:t>
      </w:r>
    </w:p>
  </w:footnote>
  <w:footnote w:id="57">
    <w:p w:rsidR="004F640C" w:rsidRPr="00235004" w:rsidRDefault="004F640C">
      <w:pPr>
        <w:pStyle w:val="FootnoteText"/>
      </w:pPr>
      <w:r>
        <w:rPr>
          <w:rStyle w:val="FootnoteReference"/>
        </w:rPr>
        <w:footnoteRef/>
      </w:r>
      <w:r>
        <w:t xml:space="preserve"> </w:t>
      </w:r>
      <w:r>
        <w:rPr>
          <w:i/>
        </w:rPr>
        <w:t>Statement to</w:t>
      </w:r>
      <w:r w:rsidRPr="00235004">
        <w:t xml:space="preserve"> </w:t>
      </w:r>
      <w:r>
        <w:t>S106, 2018 Leg., 218</w:t>
      </w:r>
      <w:r w:rsidRPr="001D0C57">
        <w:rPr>
          <w:vertAlign w:val="superscript"/>
        </w:rPr>
        <w:t>th</w:t>
      </w:r>
      <w:r>
        <w:t xml:space="preserve"> Leg. *1 (N.J. June 14, 2018)</w:t>
      </w:r>
    </w:p>
  </w:footnote>
  <w:footnote w:id="58">
    <w:p w:rsidR="004F640C" w:rsidRDefault="004F640C">
      <w:pPr>
        <w:pStyle w:val="FootnoteText"/>
      </w:pPr>
      <w:r>
        <w:rPr>
          <w:rStyle w:val="FootnoteReference"/>
        </w:rPr>
        <w:footnoteRef/>
      </w:r>
      <w:r>
        <w:t xml:space="preserve"> </w:t>
      </w:r>
      <w:r w:rsidRPr="00CA1D47">
        <w:rPr>
          <w:rFonts w:cs="Times New Roman"/>
          <w:i/>
        </w:rPr>
        <w:t xml:space="preserve">Kean </w:t>
      </w:r>
      <w:proofErr w:type="spellStart"/>
      <w:r w:rsidRPr="00CA1D47">
        <w:rPr>
          <w:rFonts w:cs="Times New Roman"/>
          <w:i/>
        </w:rPr>
        <w:t>Fed</w:t>
      </w:r>
      <w:r>
        <w:rPr>
          <w:rFonts w:cs="Times New Roman"/>
          <w:i/>
        </w:rPr>
        <w:t>’n</w:t>
      </w:r>
      <w:proofErr w:type="spellEnd"/>
      <w:r>
        <w:rPr>
          <w:rFonts w:cs="Times New Roman"/>
        </w:rPr>
        <w:t>, No. A-84, 2018 WL 3062207 at *15.</w:t>
      </w:r>
    </w:p>
  </w:footnote>
  <w:footnote w:id="59">
    <w:p w:rsidR="004F640C" w:rsidRPr="004E415A" w:rsidRDefault="004F640C">
      <w:pPr>
        <w:pStyle w:val="FootnoteText"/>
        <w:rPr>
          <w:i/>
        </w:rPr>
      </w:pPr>
      <w:r>
        <w:rPr>
          <w:rStyle w:val="FootnoteReference"/>
        </w:rPr>
        <w:footnoteRef/>
      </w:r>
      <w:r>
        <w:t xml:space="preserve"> </w:t>
      </w:r>
      <w:r>
        <w:rPr>
          <w:i/>
        </w:rPr>
        <w:t>Id.</w:t>
      </w:r>
    </w:p>
  </w:footnote>
  <w:footnote w:id="60">
    <w:p w:rsidR="004F640C" w:rsidRDefault="004F640C" w:rsidP="004E415A">
      <w:pPr>
        <w:pStyle w:val="FootnoteText"/>
      </w:pPr>
      <w:r>
        <w:rPr>
          <w:rStyle w:val="FootnoteReference"/>
        </w:rPr>
        <w:footnoteRef/>
      </w:r>
      <w:r>
        <w:t xml:space="preserve"> </w:t>
      </w:r>
      <w:r w:rsidRPr="00CA1D47">
        <w:rPr>
          <w:rFonts w:cs="Times New Roman"/>
          <w:i/>
        </w:rPr>
        <w:t xml:space="preserve">Kean </w:t>
      </w:r>
      <w:proofErr w:type="spellStart"/>
      <w:r w:rsidRPr="00CA1D47">
        <w:rPr>
          <w:rFonts w:cs="Times New Roman"/>
          <w:i/>
        </w:rPr>
        <w:t>Fed</w:t>
      </w:r>
      <w:r>
        <w:rPr>
          <w:rFonts w:cs="Times New Roman"/>
          <w:i/>
        </w:rPr>
        <w:t>’n</w:t>
      </w:r>
      <w:proofErr w:type="spellEnd"/>
      <w:r>
        <w:rPr>
          <w:rFonts w:cs="Times New Roman"/>
        </w:rPr>
        <w:t>, No. A-84, 2018 WL 3062207 at *15.</w:t>
      </w:r>
    </w:p>
  </w:footnote>
  <w:footnote w:id="61">
    <w:p w:rsidR="004F640C" w:rsidRPr="008F6599" w:rsidRDefault="004F640C" w:rsidP="00A25055">
      <w:pPr>
        <w:pStyle w:val="FootnoteText"/>
        <w:jc w:val="both"/>
      </w:pPr>
      <w:r>
        <w:rPr>
          <w:rStyle w:val="FootnoteReference"/>
        </w:rPr>
        <w:footnoteRef/>
      </w:r>
      <w:r>
        <w:t xml:space="preserve"> </w:t>
      </w:r>
      <w:r>
        <w:rPr>
          <w:i/>
        </w:rPr>
        <w:t>Id.</w:t>
      </w:r>
      <w:r>
        <w:t xml:space="preserve"> The proposed legislation allows municipalities with a population of 5,000 or fewer inhabitants, a board of education having a total district enrollment of 500 or fewer pupils, or a public authority having less than $10 million in assets to make their minutes available no later than 20 days after the next subsequent meeting. </w:t>
      </w:r>
    </w:p>
  </w:footnote>
  <w:footnote w:id="62">
    <w:p w:rsidR="004F640C" w:rsidRPr="00750C28" w:rsidRDefault="004F640C" w:rsidP="0057690E">
      <w:pPr>
        <w:pStyle w:val="FootnoteText"/>
        <w:rPr>
          <w:sz w:val="16"/>
        </w:rPr>
      </w:pPr>
      <w:r>
        <w:rPr>
          <w:rStyle w:val="FootnoteReference"/>
        </w:rPr>
        <w:footnoteRef/>
      </w:r>
      <w:r w:rsidRPr="000021B1">
        <w:rPr>
          <w:rFonts w:cs="Times New Roman"/>
          <w:i/>
        </w:rPr>
        <w:t xml:space="preserve">Rice v. Union </w:t>
      </w:r>
      <w:proofErr w:type="spellStart"/>
      <w:r w:rsidRPr="000021B1">
        <w:rPr>
          <w:rFonts w:cs="Times New Roman"/>
          <w:i/>
        </w:rPr>
        <w:t>Cnty</w:t>
      </w:r>
      <w:proofErr w:type="spellEnd"/>
      <w:r>
        <w:rPr>
          <w:rFonts w:cs="Times New Roman"/>
          <w:i/>
        </w:rPr>
        <w:t>.</w:t>
      </w:r>
      <w:r w:rsidRPr="000021B1">
        <w:rPr>
          <w:rFonts w:cs="Times New Roman"/>
          <w:i/>
        </w:rPr>
        <w:t xml:space="preserve"> Re</w:t>
      </w:r>
      <w:r>
        <w:rPr>
          <w:rFonts w:cs="Times New Roman"/>
          <w:i/>
        </w:rPr>
        <w:t>g’</w:t>
      </w:r>
      <w:r w:rsidRPr="000021B1">
        <w:rPr>
          <w:rFonts w:cs="Times New Roman"/>
          <w:i/>
        </w:rPr>
        <w:t>l High Sch</w:t>
      </w:r>
      <w:r>
        <w:rPr>
          <w:rFonts w:cs="Times New Roman"/>
          <w:i/>
        </w:rPr>
        <w:t>.</w:t>
      </w:r>
      <w:r w:rsidRPr="000021B1">
        <w:rPr>
          <w:rFonts w:cs="Times New Roman"/>
          <w:i/>
        </w:rPr>
        <w:t xml:space="preserve"> B</w:t>
      </w:r>
      <w:r>
        <w:rPr>
          <w:rFonts w:cs="Times New Roman"/>
          <w:i/>
        </w:rPr>
        <w:t>d.</w:t>
      </w:r>
      <w:r w:rsidRPr="000021B1">
        <w:rPr>
          <w:rFonts w:cs="Times New Roman"/>
          <w:i/>
        </w:rPr>
        <w:t xml:space="preserve"> of Educ., </w:t>
      </w:r>
      <w:r w:rsidRPr="000021B1">
        <w:rPr>
          <w:rFonts w:cs="Times New Roman"/>
        </w:rPr>
        <w:t xml:space="preserve">155 </w:t>
      </w:r>
      <w:r w:rsidRPr="000021B1">
        <w:rPr>
          <w:rFonts w:cs="Times New Roman"/>
          <w:i/>
        </w:rPr>
        <w:t>N.J. Super</w:t>
      </w:r>
      <w:r w:rsidRPr="000021B1">
        <w:rPr>
          <w:rFonts w:cs="Times New Roman"/>
        </w:rPr>
        <w:t>. 64 (App. Div. 1977).</w:t>
      </w:r>
      <w:r>
        <w:rPr>
          <w:rFonts w:cs="Times New Roman"/>
        </w:rPr>
        <w:t xml:space="preserve"> The notice required to be issued by public entities would eventually be referred to as a </w:t>
      </w:r>
      <w:r>
        <w:rPr>
          <w:rFonts w:cs="Times New Roman"/>
          <w:i/>
        </w:rPr>
        <w:t>“Rice Notice.”</w:t>
      </w:r>
    </w:p>
  </w:footnote>
  <w:footnote w:id="63">
    <w:p w:rsidR="004F640C" w:rsidRDefault="004F640C" w:rsidP="00A77CE0">
      <w:pPr>
        <w:pStyle w:val="FootnoteText"/>
      </w:pPr>
      <w:r>
        <w:rPr>
          <w:rStyle w:val="FootnoteReference"/>
        </w:rPr>
        <w:footnoteRef/>
      </w:r>
      <w:r>
        <w:t xml:space="preserve"> </w:t>
      </w:r>
      <w:r w:rsidRPr="00CA1D47">
        <w:rPr>
          <w:rFonts w:cs="Times New Roman"/>
          <w:i/>
        </w:rPr>
        <w:t xml:space="preserve">Kean </w:t>
      </w:r>
      <w:proofErr w:type="spellStart"/>
      <w:r w:rsidRPr="00CA1D47">
        <w:rPr>
          <w:rFonts w:cs="Times New Roman"/>
          <w:i/>
        </w:rPr>
        <w:t>Fed</w:t>
      </w:r>
      <w:r>
        <w:rPr>
          <w:rFonts w:cs="Times New Roman"/>
          <w:i/>
        </w:rPr>
        <w:t>’n</w:t>
      </w:r>
      <w:proofErr w:type="spellEnd"/>
      <w:r>
        <w:rPr>
          <w:rFonts w:cs="Times New Roman"/>
        </w:rPr>
        <w:t>, No. A-84, 2018 WL 3062207 at *11.</w:t>
      </w:r>
    </w:p>
  </w:footnote>
  <w:footnote w:id="64">
    <w:p w:rsidR="004F640C" w:rsidRPr="00114ABD" w:rsidRDefault="004F640C">
      <w:pPr>
        <w:pStyle w:val="FootnoteText"/>
        <w:rPr>
          <w:i/>
        </w:rPr>
      </w:pPr>
      <w:r>
        <w:rPr>
          <w:rStyle w:val="FootnoteReference"/>
        </w:rPr>
        <w:footnoteRef/>
      </w:r>
      <w:r>
        <w:t xml:space="preserve"> </w:t>
      </w:r>
      <w:r>
        <w:rPr>
          <w:i/>
        </w:rPr>
        <w:t>Id.</w:t>
      </w:r>
    </w:p>
  </w:footnote>
  <w:footnote w:id="65">
    <w:p w:rsidR="004F640C" w:rsidRPr="00323529" w:rsidRDefault="004F640C">
      <w:pPr>
        <w:pStyle w:val="FootnoteText"/>
        <w:rPr>
          <w:i/>
        </w:rPr>
      </w:pPr>
      <w:r>
        <w:rPr>
          <w:rStyle w:val="FootnoteReference"/>
        </w:rPr>
        <w:footnoteRef/>
      </w:r>
      <w:r>
        <w:t xml:space="preserve"> </w:t>
      </w:r>
      <w:r>
        <w:rPr>
          <w:i/>
        </w:rPr>
        <w:t>Id.</w:t>
      </w:r>
    </w:p>
  </w:footnote>
  <w:footnote w:id="66">
    <w:p w:rsidR="004F640C" w:rsidRDefault="004F640C">
      <w:pPr>
        <w:pStyle w:val="FootnoteText"/>
      </w:pPr>
      <w:r>
        <w:rPr>
          <w:rStyle w:val="FootnoteReference"/>
        </w:rPr>
        <w:footnoteRef/>
      </w:r>
      <w:r>
        <w:t xml:space="preserve"> The decision in </w:t>
      </w:r>
      <w:r w:rsidRPr="00CA1D47">
        <w:rPr>
          <w:rFonts w:cs="Times New Roman"/>
          <w:i/>
        </w:rPr>
        <w:t xml:space="preserve">Kean </w:t>
      </w:r>
      <w:proofErr w:type="spellStart"/>
      <w:r w:rsidRPr="00CA1D47">
        <w:rPr>
          <w:rFonts w:cs="Times New Roman"/>
          <w:i/>
        </w:rPr>
        <w:t>Fed</w:t>
      </w:r>
      <w:r>
        <w:rPr>
          <w:rFonts w:cs="Times New Roman"/>
          <w:i/>
        </w:rPr>
        <w:t>’n</w:t>
      </w:r>
      <w:proofErr w:type="spellEnd"/>
      <w:r w:rsidRPr="00CA1D47">
        <w:rPr>
          <w:rFonts w:cs="Times New Roman"/>
          <w:i/>
        </w:rPr>
        <w:t xml:space="preserve"> of </w:t>
      </w:r>
      <w:proofErr w:type="spellStart"/>
      <w:r>
        <w:rPr>
          <w:rFonts w:cs="Times New Roman"/>
          <w:i/>
        </w:rPr>
        <w:t>Tchrs</w:t>
      </w:r>
      <w:proofErr w:type="spellEnd"/>
      <w:r>
        <w:rPr>
          <w:rFonts w:cs="Times New Roman"/>
          <w:i/>
        </w:rPr>
        <w:t>.</w:t>
      </w:r>
      <w:r w:rsidRPr="00CA1D47">
        <w:rPr>
          <w:rFonts w:cs="Times New Roman"/>
          <w:i/>
        </w:rPr>
        <w:t xml:space="preserve"> v. Morell</w:t>
      </w:r>
      <w:r>
        <w:rPr>
          <w:rFonts w:cs="Times New Roman"/>
        </w:rPr>
        <w:t xml:space="preserve">, No. A-84, 2018 WL 3062207 *1 was issued by the Supreme Court on June 21,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B7317"/>
    <w:multiLevelType w:val="hybridMultilevel"/>
    <w:tmpl w:val="0F80E808"/>
    <w:lvl w:ilvl="0" w:tplc="4AC60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2A"/>
    <w:rsid w:val="000021B1"/>
    <w:rsid w:val="00014CEC"/>
    <w:rsid w:val="00016D46"/>
    <w:rsid w:val="00025D81"/>
    <w:rsid w:val="00040343"/>
    <w:rsid w:val="00046C71"/>
    <w:rsid w:val="00047410"/>
    <w:rsid w:val="0005715F"/>
    <w:rsid w:val="00060089"/>
    <w:rsid w:val="000626D6"/>
    <w:rsid w:val="00066E22"/>
    <w:rsid w:val="00070412"/>
    <w:rsid w:val="00073CE1"/>
    <w:rsid w:val="00081E00"/>
    <w:rsid w:val="00083890"/>
    <w:rsid w:val="000915FA"/>
    <w:rsid w:val="00094622"/>
    <w:rsid w:val="000A3EC3"/>
    <w:rsid w:val="000B3114"/>
    <w:rsid w:val="000B7A01"/>
    <w:rsid w:val="000E1A41"/>
    <w:rsid w:val="000E5FE4"/>
    <w:rsid w:val="000F2CB2"/>
    <w:rsid w:val="00103176"/>
    <w:rsid w:val="00111314"/>
    <w:rsid w:val="001142C6"/>
    <w:rsid w:val="00114ABD"/>
    <w:rsid w:val="00116DB7"/>
    <w:rsid w:val="001224BE"/>
    <w:rsid w:val="00131B5C"/>
    <w:rsid w:val="0013481C"/>
    <w:rsid w:val="00142A15"/>
    <w:rsid w:val="001439BF"/>
    <w:rsid w:val="0014401D"/>
    <w:rsid w:val="001778F1"/>
    <w:rsid w:val="001B4E2E"/>
    <w:rsid w:val="001C3E21"/>
    <w:rsid w:val="001C6D33"/>
    <w:rsid w:val="001D0C57"/>
    <w:rsid w:val="001D6134"/>
    <w:rsid w:val="001E3A2E"/>
    <w:rsid w:val="001F1B79"/>
    <w:rsid w:val="00204317"/>
    <w:rsid w:val="00211869"/>
    <w:rsid w:val="00211C30"/>
    <w:rsid w:val="00213310"/>
    <w:rsid w:val="00223FCA"/>
    <w:rsid w:val="00224165"/>
    <w:rsid w:val="002253BF"/>
    <w:rsid w:val="00226A4E"/>
    <w:rsid w:val="00235004"/>
    <w:rsid w:val="002428BD"/>
    <w:rsid w:val="00247E5A"/>
    <w:rsid w:val="002536DB"/>
    <w:rsid w:val="00255CB9"/>
    <w:rsid w:val="00277319"/>
    <w:rsid w:val="0028353A"/>
    <w:rsid w:val="002876FA"/>
    <w:rsid w:val="00295CC6"/>
    <w:rsid w:val="002B52D8"/>
    <w:rsid w:val="002C354E"/>
    <w:rsid w:val="002D5A9F"/>
    <w:rsid w:val="002E28AF"/>
    <w:rsid w:val="002E2AFD"/>
    <w:rsid w:val="002E2F5F"/>
    <w:rsid w:val="002E6632"/>
    <w:rsid w:val="002F2D28"/>
    <w:rsid w:val="002F41AD"/>
    <w:rsid w:val="00303562"/>
    <w:rsid w:val="00305820"/>
    <w:rsid w:val="003140A3"/>
    <w:rsid w:val="00316B5E"/>
    <w:rsid w:val="00320779"/>
    <w:rsid w:val="00323529"/>
    <w:rsid w:val="00324A9D"/>
    <w:rsid w:val="00345275"/>
    <w:rsid w:val="00347DE7"/>
    <w:rsid w:val="0036457F"/>
    <w:rsid w:val="00373591"/>
    <w:rsid w:val="00376434"/>
    <w:rsid w:val="0038241D"/>
    <w:rsid w:val="00397F3D"/>
    <w:rsid w:val="003D30A5"/>
    <w:rsid w:val="003E121E"/>
    <w:rsid w:val="003E272A"/>
    <w:rsid w:val="003E5871"/>
    <w:rsid w:val="003F4C3E"/>
    <w:rsid w:val="0040253C"/>
    <w:rsid w:val="00402BD1"/>
    <w:rsid w:val="00406E30"/>
    <w:rsid w:val="00411264"/>
    <w:rsid w:val="00416A90"/>
    <w:rsid w:val="00441950"/>
    <w:rsid w:val="00441DF9"/>
    <w:rsid w:val="004573BA"/>
    <w:rsid w:val="00462CBC"/>
    <w:rsid w:val="00465C9B"/>
    <w:rsid w:val="00472031"/>
    <w:rsid w:val="004732D9"/>
    <w:rsid w:val="00476204"/>
    <w:rsid w:val="00477E48"/>
    <w:rsid w:val="00496F96"/>
    <w:rsid w:val="004A5719"/>
    <w:rsid w:val="004B0290"/>
    <w:rsid w:val="004B0352"/>
    <w:rsid w:val="004B132F"/>
    <w:rsid w:val="004C0C64"/>
    <w:rsid w:val="004D2B46"/>
    <w:rsid w:val="004D7865"/>
    <w:rsid w:val="004E3F06"/>
    <w:rsid w:val="004E415A"/>
    <w:rsid w:val="004F1A13"/>
    <w:rsid w:val="004F640C"/>
    <w:rsid w:val="004F6BAF"/>
    <w:rsid w:val="00510181"/>
    <w:rsid w:val="00511DC8"/>
    <w:rsid w:val="005177E2"/>
    <w:rsid w:val="00523BE1"/>
    <w:rsid w:val="005315C8"/>
    <w:rsid w:val="0053234A"/>
    <w:rsid w:val="00550D20"/>
    <w:rsid w:val="005551B8"/>
    <w:rsid w:val="00564F9E"/>
    <w:rsid w:val="005665A4"/>
    <w:rsid w:val="00574E12"/>
    <w:rsid w:val="0057690E"/>
    <w:rsid w:val="00580857"/>
    <w:rsid w:val="00584C7C"/>
    <w:rsid w:val="00594A72"/>
    <w:rsid w:val="00596283"/>
    <w:rsid w:val="005A4223"/>
    <w:rsid w:val="005B2456"/>
    <w:rsid w:val="005B48F4"/>
    <w:rsid w:val="005C0068"/>
    <w:rsid w:val="005D6422"/>
    <w:rsid w:val="005E0E03"/>
    <w:rsid w:val="005E3868"/>
    <w:rsid w:val="005E3C86"/>
    <w:rsid w:val="005E572A"/>
    <w:rsid w:val="005E7EBD"/>
    <w:rsid w:val="005F1A75"/>
    <w:rsid w:val="0060376F"/>
    <w:rsid w:val="006123DB"/>
    <w:rsid w:val="00637730"/>
    <w:rsid w:val="006429DA"/>
    <w:rsid w:val="00655EC9"/>
    <w:rsid w:val="00664090"/>
    <w:rsid w:val="00664106"/>
    <w:rsid w:val="006717C1"/>
    <w:rsid w:val="006718D7"/>
    <w:rsid w:val="00680497"/>
    <w:rsid w:val="00685EC6"/>
    <w:rsid w:val="00694FC9"/>
    <w:rsid w:val="006B0039"/>
    <w:rsid w:val="006B740C"/>
    <w:rsid w:val="006C058C"/>
    <w:rsid w:val="006E1430"/>
    <w:rsid w:val="006F3A0A"/>
    <w:rsid w:val="006F5885"/>
    <w:rsid w:val="006F5D54"/>
    <w:rsid w:val="00714384"/>
    <w:rsid w:val="0071555D"/>
    <w:rsid w:val="0073299C"/>
    <w:rsid w:val="00741D2B"/>
    <w:rsid w:val="007420F3"/>
    <w:rsid w:val="00750C28"/>
    <w:rsid w:val="00757F19"/>
    <w:rsid w:val="00771FCA"/>
    <w:rsid w:val="00790ED9"/>
    <w:rsid w:val="007919B2"/>
    <w:rsid w:val="00792BE7"/>
    <w:rsid w:val="007A37B1"/>
    <w:rsid w:val="007A5D8C"/>
    <w:rsid w:val="007A7870"/>
    <w:rsid w:val="007A7D36"/>
    <w:rsid w:val="007D3DC1"/>
    <w:rsid w:val="007D6007"/>
    <w:rsid w:val="007F525D"/>
    <w:rsid w:val="00811145"/>
    <w:rsid w:val="00823A82"/>
    <w:rsid w:val="00823BC8"/>
    <w:rsid w:val="00830F01"/>
    <w:rsid w:val="00835D28"/>
    <w:rsid w:val="0084312A"/>
    <w:rsid w:val="00843476"/>
    <w:rsid w:val="00847CB3"/>
    <w:rsid w:val="008527A7"/>
    <w:rsid w:val="00853A15"/>
    <w:rsid w:val="008700D7"/>
    <w:rsid w:val="00872411"/>
    <w:rsid w:val="008745EC"/>
    <w:rsid w:val="00883549"/>
    <w:rsid w:val="008A59B0"/>
    <w:rsid w:val="008A6178"/>
    <w:rsid w:val="008A64A9"/>
    <w:rsid w:val="008A75F6"/>
    <w:rsid w:val="008C249A"/>
    <w:rsid w:val="008F27F3"/>
    <w:rsid w:val="008F6599"/>
    <w:rsid w:val="00901550"/>
    <w:rsid w:val="00913422"/>
    <w:rsid w:val="00922C9F"/>
    <w:rsid w:val="0093442E"/>
    <w:rsid w:val="00936AB3"/>
    <w:rsid w:val="009539C3"/>
    <w:rsid w:val="009623FD"/>
    <w:rsid w:val="00965932"/>
    <w:rsid w:val="00966D5A"/>
    <w:rsid w:val="0097509B"/>
    <w:rsid w:val="00983503"/>
    <w:rsid w:val="009917B0"/>
    <w:rsid w:val="00994034"/>
    <w:rsid w:val="009A17B2"/>
    <w:rsid w:val="009A1B23"/>
    <w:rsid w:val="009A3449"/>
    <w:rsid w:val="009A47A2"/>
    <w:rsid w:val="009A551A"/>
    <w:rsid w:val="009C3216"/>
    <w:rsid w:val="009D1A3D"/>
    <w:rsid w:val="009D7C52"/>
    <w:rsid w:val="009E3B87"/>
    <w:rsid w:val="009F65A1"/>
    <w:rsid w:val="00A0222F"/>
    <w:rsid w:val="00A25055"/>
    <w:rsid w:val="00A3128B"/>
    <w:rsid w:val="00A35088"/>
    <w:rsid w:val="00A41A8F"/>
    <w:rsid w:val="00A5203F"/>
    <w:rsid w:val="00A6761E"/>
    <w:rsid w:val="00A70E86"/>
    <w:rsid w:val="00A77CE0"/>
    <w:rsid w:val="00A8321D"/>
    <w:rsid w:val="00A84D70"/>
    <w:rsid w:val="00A93E6B"/>
    <w:rsid w:val="00AA0426"/>
    <w:rsid w:val="00AA6386"/>
    <w:rsid w:val="00AC3431"/>
    <w:rsid w:val="00AD6FF7"/>
    <w:rsid w:val="00AE2D06"/>
    <w:rsid w:val="00AE66EC"/>
    <w:rsid w:val="00AF1986"/>
    <w:rsid w:val="00AF56A1"/>
    <w:rsid w:val="00B06AA2"/>
    <w:rsid w:val="00B2215C"/>
    <w:rsid w:val="00B24DE4"/>
    <w:rsid w:val="00B26184"/>
    <w:rsid w:val="00B3155F"/>
    <w:rsid w:val="00B324C7"/>
    <w:rsid w:val="00B44A3B"/>
    <w:rsid w:val="00B6022A"/>
    <w:rsid w:val="00B814D8"/>
    <w:rsid w:val="00B85772"/>
    <w:rsid w:val="00B93ABE"/>
    <w:rsid w:val="00BA08C9"/>
    <w:rsid w:val="00BB4A46"/>
    <w:rsid w:val="00BD641E"/>
    <w:rsid w:val="00BE4A6B"/>
    <w:rsid w:val="00BF1CD1"/>
    <w:rsid w:val="00BF6EC0"/>
    <w:rsid w:val="00C15A12"/>
    <w:rsid w:val="00C16A72"/>
    <w:rsid w:val="00C177EB"/>
    <w:rsid w:val="00C323C2"/>
    <w:rsid w:val="00C568F2"/>
    <w:rsid w:val="00C62373"/>
    <w:rsid w:val="00C677A9"/>
    <w:rsid w:val="00C759C6"/>
    <w:rsid w:val="00C77D69"/>
    <w:rsid w:val="00C86F22"/>
    <w:rsid w:val="00C90788"/>
    <w:rsid w:val="00C90D61"/>
    <w:rsid w:val="00C90DB8"/>
    <w:rsid w:val="00C91EC6"/>
    <w:rsid w:val="00C92EF5"/>
    <w:rsid w:val="00CA0014"/>
    <w:rsid w:val="00CA1D47"/>
    <w:rsid w:val="00CA29B6"/>
    <w:rsid w:val="00CA3803"/>
    <w:rsid w:val="00CA6B90"/>
    <w:rsid w:val="00CC2228"/>
    <w:rsid w:val="00CC3CD3"/>
    <w:rsid w:val="00CD37AD"/>
    <w:rsid w:val="00CD771F"/>
    <w:rsid w:val="00CE2AB2"/>
    <w:rsid w:val="00CE6509"/>
    <w:rsid w:val="00CF0250"/>
    <w:rsid w:val="00D00181"/>
    <w:rsid w:val="00D04864"/>
    <w:rsid w:val="00D112DE"/>
    <w:rsid w:val="00D17157"/>
    <w:rsid w:val="00D23547"/>
    <w:rsid w:val="00D46744"/>
    <w:rsid w:val="00D64562"/>
    <w:rsid w:val="00D64729"/>
    <w:rsid w:val="00D65F2F"/>
    <w:rsid w:val="00D92B3B"/>
    <w:rsid w:val="00D941A6"/>
    <w:rsid w:val="00DC3954"/>
    <w:rsid w:val="00DC6BDE"/>
    <w:rsid w:val="00DD1F37"/>
    <w:rsid w:val="00DD5B4C"/>
    <w:rsid w:val="00DD6B9B"/>
    <w:rsid w:val="00DE7042"/>
    <w:rsid w:val="00DF5058"/>
    <w:rsid w:val="00DF5E27"/>
    <w:rsid w:val="00DF7435"/>
    <w:rsid w:val="00DF7441"/>
    <w:rsid w:val="00E00109"/>
    <w:rsid w:val="00E01E40"/>
    <w:rsid w:val="00E027D1"/>
    <w:rsid w:val="00E05353"/>
    <w:rsid w:val="00E20425"/>
    <w:rsid w:val="00E32D2F"/>
    <w:rsid w:val="00E40664"/>
    <w:rsid w:val="00E4558F"/>
    <w:rsid w:val="00E524DD"/>
    <w:rsid w:val="00E67F5B"/>
    <w:rsid w:val="00E8017C"/>
    <w:rsid w:val="00E80B22"/>
    <w:rsid w:val="00E8446D"/>
    <w:rsid w:val="00EB6572"/>
    <w:rsid w:val="00EC0EAB"/>
    <w:rsid w:val="00ED7389"/>
    <w:rsid w:val="00ED760E"/>
    <w:rsid w:val="00F06B3E"/>
    <w:rsid w:val="00F10AFF"/>
    <w:rsid w:val="00F23C04"/>
    <w:rsid w:val="00F464E2"/>
    <w:rsid w:val="00F47B01"/>
    <w:rsid w:val="00F47CFE"/>
    <w:rsid w:val="00F52554"/>
    <w:rsid w:val="00F54DC6"/>
    <w:rsid w:val="00F7321E"/>
    <w:rsid w:val="00F73853"/>
    <w:rsid w:val="00FA2023"/>
    <w:rsid w:val="00FA4662"/>
    <w:rsid w:val="00FA73B5"/>
    <w:rsid w:val="00FD24EC"/>
    <w:rsid w:val="00FE2D5D"/>
    <w:rsid w:val="00FE34FE"/>
    <w:rsid w:val="00FE67E3"/>
    <w:rsid w:val="00FF150E"/>
    <w:rsid w:val="00FF2C9E"/>
    <w:rsid w:val="00FF3332"/>
    <w:rsid w:val="00FF5897"/>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11618-8215-43E7-82ED-03B5B91B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72A"/>
    <w:pPr>
      <w:spacing w:after="0" w:line="240" w:lineRule="auto"/>
    </w:pPr>
    <w:rPr>
      <w:rFonts w:asciiTheme="minorHAnsi" w:hAnsiTheme="minorHAnsi" w:cstheme="minorBidi"/>
      <w:b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572A"/>
    <w:rPr>
      <w:rFonts w:ascii="Times New Roman" w:hAnsi="Times New Roman"/>
      <w:sz w:val="20"/>
      <w:szCs w:val="20"/>
    </w:rPr>
  </w:style>
  <w:style w:type="character" w:customStyle="1" w:styleId="FootnoteTextChar">
    <w:name w:val="Footnote Text Char"/>
    <w:basedOn w:val="DefaultParagraphFont"/>
    <w:link w:val="FootnoteText"/>
    <w:uiPriority w:val="99"/>
    <w:rsid w:val="005E572A"/>
    <w:rPr>
      <w:rFonts w:cstheme="minorBidi"/>
      <w:b w:val="0"/>
      <w:sz w:val="20"/>
      <w:szCs w:val="20"/>
    </w:rPr>
  </w:style>
  <w:style w:type="character" w:styleId="FootnoteReference">
    <w:name w:val="footnote reference"/>
    <w:basedOn w:val="DefaultParagraphFont"/>
    <w:uiPriority w:val="99"/>
    <w:semiHidden/>
    <w:unhideWhenUsed/>
    <w:rsid w:val="005E572A"/>
    <w:rPr>
      <w:rFonts w:ascii="Times New Roman" w:hAnsi="Times New Roman"/>
      <w:vertAlign w:val="superscript"/>
    </w:rPr>
  </w:style>
  <w:style w:type="paragraph" w:styleId="Footer">
    <w:name w:val="footer"/>
    <w:basedOn w:val="Normal"/>
    <w:link w:val="FooterChar"/>
    <w:uiPriority w:val="99"/>
    <w:unhideWhenUsed/>
    <w:rsid w:val="005E572A"/>
    <w:pPr>
      <w:tabs>
        <w:tab w:val="center" w:pos="4680"/>
        <w:tab w:val="right" w:pos="9360"/>
      </w:tabs>
    </w:pPr>
  </w:style>
  <w:style w:type="character" w:customStyle="1" w:styleId="FooterChar">
    <w:name w:val="Footer Char"/>
    <w:basedOn w:val="DefaultParagraphFont"/>
    <w:link w:val="Footer"/>
    <w:uiPriority w:val="99"/>
    <w:rsid w:val="005E572A"/>
    <w:rPr>
      <w:rFonts w:asciiTheme="minorHAnsi" w:hAnsiTheme="minorHAnsi" w:cstheme="minorBidi"/>
      <w:b w:val="0"/>
      <w:sz w:val="22"/>
      <w:szCs w:val="22"/>
    </w:rPr>
  </w:style>
  <w:style w:type="paragraph" w:styleId="Header">
    <w:name w:val="header"/>
    <w:basedOn w:val="Normal"/>
    <w:link w:val="HeaderChar"/>
    <w:uiPriority w:val="99"/>
    <w:unhideWhenUsed/>
    <w:rsid w:val="002536DB"/>
    <w:pPr>
      <w:tabs>
        <w:tab w:val="center" w:pos="4680"/>
        <w:tab w:val="right" w:pos="9360"/>
      </w:tabs>
    </w:pPr>
  </w:style>
  <w:style w:type="character" w:customStyle="1" w:styleId="HeaderChar">
    <w:name w:val="Header Char"/>
    <w:basedOn w:val="DefaultParagraphFont"/>
    <w:link w:val="Header"/>
    <w:uiPriority w:val="99"/>
    <w:rsid w:val="002536DB"/>
    <w:rPr>
      <w:rFonts w:asciiTheme="minorHAnsi" w:hAnsiTheme="minorHAnsi" w:cstheme="minorBidi"/>
      <w:b w:val="0"/>
      <w:sz w:val="22"/>
      <w:szCs w:val="22"/>
    </w:rPr>
  </w:style>
  <w:style w:type="character" w:styleId="Hyperlink">
    <w:name w:val="Hyperlink"/>
    <w:basedOn w:val="DefaultParagraphFont"/>
    <w:uiPriority w:val="99"/>
    <w:semiHidden/>
    <w:unhideWhenUsed/>
    <w:rsid w:val="00402BD1"/>
    <w:rPr>
      <w:color w:val="0000FF"/>
      <w:u w:val="single"/>
    </w:rPr>
  </w:style>
  <w:style w:type="paragraph" w:styleId="ListParagraph">
    <w:name w:val="List Paragraph"/>
    <w:basedOn w:val="Normal"/>
    <w:uiPriority w:val="34"/>
    <w:qFormat/>
    <w:rsid w:val="00211C30"/>
    <w:pPr>
      <w:ind w:left="720"/>
      <w:contextualSpacing/>
    </w:pPr>
  </w:style>
  <w:style w:type="paragraph" w:styleId="BalloonText">
    <w:name w:val="Balloon Text"/>
    <w:basedOn w:val="Normal"/>
    <w:link w:val="BalloonTextChar"/>
    <w:uiPriority w:val="99"/>
    <w:semiHidden/>
    <w:unhideWhenUsed/>
    <w:rsid w:val="001E3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A2E"/>
    <w:rPr>
      <w:rFonts w:ascii="Segoe UI" w:hAnsi="Segoe UI" w:cs="Segoe U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3175">
      <w:bodyDiv w:val="1"/>
      <w:marLeft w:val="0"/>
      <w:marRight w:val="0"/>
      <w:marTop w:val="0"/>
      <w:marBottom w:val="0"/>
      <w:divBdr>
        <w:top w:val="none" w:sz="0" w:space="0" w:color="auto"/>
        <w:left w:val="none" w:sz="0" w:space="0" w:color="auto"/>
        <w:bottom w:val="none" w:sz="0" w:space="0" w:color="auto"/>
        <w:right w:val="none" w:sz="0" w:space="0" w:color="auto"/>
      </w:divBdr>
    </w:div>
    <w:div w:id="318316942">
      <w:bodyDiv w:val="1"/>
      <w:marLeft w:val="0"/>
      <w:marRight w:val="0"/>
      <w:marTop w:val="0"/>
      <w:marBottom w:val="0"/>
      <w:divBdr>
        <w:top w:val="none" w:sz="0" w:space="0" w:color="auto"/>
        <w:left w:val="none" w:sz="0" w:space="0" w:color="auto"/>
        <w:bottom w:val="none" w:sz="0" w:space="0" w:color="auto"/>
        <w:right w:val="none" w:sz="0" w:space="0" w:color="auto"/>
      </w:divBdr>
    </w:div>
    <w:div w:id="1356804973">
      <w:bodyDiv w:val="1"/>
      <w:marLeft w:val="0"/>
      <w:marRight w:val="0"/>
      <w:marTop w:val="0"/>
      <w:marBottom w:val="0"/>
      <w:divBdr>
        <w:top w:val="none" w:sz="0" w:space="0" w:color="auto"/>
        <w:left w:val="none" w:sz="0" w:space="0" w:color="auto"/>
        <w:bottom w:val="none" w:sz="0" w:space="0" w:color="auto"/>
        <w:right w:val="none" w:sz="0" w:space="0" w:color="auto"/>
      </w:divBdr>
    </w:div>
    <w:div w:id="1488785973">
      <w:bodyDiv w:val="1"/>
      <w:marLeft w:val="0"/>
      <w:marRight w:val="0"/>
      <w:marTop w:val="0"/>
      <w:marBottom w:val="0"/>
      <w:divBdr>
        <w:top w:val="none" w:sz="0" w:space="0" w:color="auto"/>
        <w:left w:val="none" w:sz="0" w:space="0" w:color="auto"/>
        <w:bottom w:val="none" w:sz="0" w:space="0" w:color="auto"/>
        <w:right w:val="none" w:sz="0" w:space="0" w:color="auto"/>
      </w:divBdr>
    </w:div>
    <w:div w:id="1509061053">
      <w:bodyDiv w:val="1"/>
      <w:marLeft w:val="0"/>
      <w:marRight w:val="0"/>
      <w:marTop w:val="0"/>
      <w:marBottom w:val="0"/>
      <w:divBdr>
        <w:top w:val="none" w:sz="0" w:space="0" w:color="auto"/>
        <w:left w:val="none" w:sz="0" w:space="0" w:color="auto"/>
        <w:bottom w:val="none" w:sz="0" w:space="0" w:color="auto"/>
        <w:right w:val="none" w:sz="0" w:space="0" w:color="auto"/>
      </w:divBdr>
      <w:divsChild>
        <w:div w:id="630522412">
          <w:marLeft w:val="0"/>
          <w:marRight w:val="0"/>
          <w:marTop w:val="240"/>
          <w:marBottom w:val="0"/>
          <w:divBdr>
            <w:top w:val="none" w:sz="0" w:space="0" w:color="auto"/>
            <w:left w:val="none" w:sz="0" w:space="0" w:color="auto"/>
            <w:bottom w:val="none" w:sz="0" w:space="0" w:color="auto"/>
            <w:right w:val="none" w:sz="0" w:space="0" w:color="auto"/>
          </w:divBdr>
          <w:divsChild>
            <w:div w:id="621036353">
              <w:marLeft w:val="0"/>
              <w:marRight w:val="0"/>
              <w:marTop w:val="0"/>
              <w:marBottom w:val="0"/>
              <w:divBdr>
                <w:top w:val="none" w:sz="0" w:space="0" w:color="auto"/>
                <w:left w:val="none" w:sz="0" w:space="0" w:color="auto"/>
                <w:bottom w:val="none" w:sz="0" w:space="0" w:color="auto"/>
                <w:right w:val="none" w:sz="0" w:space="0" w:color="auto"/>
              </w:divBdr>
              <w:divsChild>
                <w:div w:id="18058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419">
          <w:marLeft w:val="0"/>
          <w:marRight w:val="0"/>
          <w:marTop w:val="240"/>
          <w:marBottom w:val="0"/>
          <w:divBdr>
            <w:top w:val="none" w:sz="0" w:space="0" w:color="auto"/>
            <w:left w:val="none" w:sz="0" w:space="0" w:color="auto"/>
            <w:bottom w:val="none" w:sz="0" w:space="0" w:color="auto"/>
            <w:right w:val="none" w:sz="0" w:space="0" w:color="auto"/>
          </w:divBdr>
          <w:divsChild>
            <w:div w:id="1673683599">
              <w:marLeft w:val="0"/>
              <w:marRight w:val="0"/>
              <w:marTop w:val="0"/>
              <w:marBottom w:val="0"/>
              <w:divBdr>
                <w:top w:val="none" w:sz="0" w:space="0" w:color="auto"/>
                <w:left w:val="none" w:sz="0" w:space="0" w:color="auto"/>
                <w:bottom w:val="none" w:sz="0" w:space="0" w:color="auto"/>
                <w:right w:val="none" w:sz="0" w:space="0" w:color="auto"/>
              </w:divBdr>
              <w:divsChild>
                <w:div w:id="8506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69456">
      <w:bodyDiv w:val="1"/>
      <w:marLeft w:val="0"/>
      <w:marRight w:val="0"/>
      <w:marTop w:val="0"/>
      <w:marBottom w:val="0"/>
      <w:divBdr>
        <w:top w:val="none" w:sz="0" w:space="0" w:color="auto"/>
        <w:left w:val="none" w:sz="0" w:space="0" w:color="auto"/>
        <w:bottom w:val="none" w:sz="0" w:space="0" w:color="auto"/>
        <w:right w:val="none" w:sz="0" w:space="0" w:color="auto"/>
      </w:divBdr>
    </w:div>
    <w:div w:id="2084445930">
      <w:bodyDiv w:val="1"/>
      <w:marLeft w:val="0"/>
      <w:marRight w:val="0"/>
      <w:marTop w:val="0"/>
      <w:marBottom w:val="0"/>
      <w:divBdr>
        <w:top w:val="none" w:sz="0" w:space="0" w:color="auto"/>
        <w:left w:val="none" w:sz="0" w:space="0" w:color="auto"/>
        <w:bottom w:val="none" w:sz="0" w:space="0" w:color="auto"/>
        <w:right w:val="none" w:sz="0" w:space="0" w:color="auto"/>
      </w:divBdr>
      <w:divsChild>
        <w:div w:id="138108698">
          <w:marLeft w:val="0"/>
          <w:marRight w:val="0"/>
          <w:marTop w:val="0"/>
          <w:marBottom w:val="0"/>
          <w:divBdr>
            <w:top w:val="none" w:sz="0" w:space="0" w:color="auto"/>
            <w:left w:val="none" w:sz="0" w:space="0" w:color="auto"/>
            <w:bottom w:val="none" w:sz="0" w:space="0" w:color="auto"/>
            <w:right w:val="none" w:sz="0" w:space="0" w:color="auto"/>
          </w:divBdr>
        </w:div>
        <w:div w:id="787361735">
          <w:marLeft w:val="0"/>
          <w:marRight w:val="0"/>
          <w:marTop w:val="240"/>
          <w:marBottom w:val="0"/>
          <w:divBdr>
            <w:top w:val="none" w:sz="0" w:space="0" w:color="auto"/>
            <w:left w:val="none" w:sz="0" w:space="0" w:color="auto"/>
            <w:bottom w:val="none" w:sz="0" w:space="0" w:color="auto"/>
            <w:right w:val="none" w:sz="0" w:space="0" w:color="auto"/>
          </w:divBdr>
          <w:divsChild>
            <w:div w:id="2050228479">
              <w:marLeft w:val="0"/>
              <w:marRight w:val="0"/>
              <w:marTop w:val="0"/>
              <w:marBottom w:val="0"/>
              <w:divBdr>
                <w:top w:val="none" w:sz="0" w:space="0" w:color="auto"/>
                <w:left w:val="none" w:sz="0" w:space="0" w:color="auto"/>
                <w:bottom w:val="none" w:sz="0" w:space="0" w:color="auto"/>
                <w:right w:val="none" w:sz="0" w:space="0" w:color="auto"/>
              </w:divBdr>
            </w:div>
          </w:divsChild>
        </w:div>
        <w:div w:id="111823586">
          <w:marLeft w:val="0"/>
          <w:marRight w:val="0"/>
          <w:marTop w:val="240"/>
          <w:marBottom w:val="0"/>
          <w:divBdr>
            <w:top w:val="none" w:sz="0" w:space="0" w:color="auto"/>
            <w:left w:val="none" w:sz="0" w:space="0" w:color="auto"/>
            <w:bottom w:val="none" w:sz="0" w:space="0" w:color="auto"/>
            <w:right w:val="none" w:sz="0" w:space="0" w:color="auto"/>
          </w:divBdr>
          <w:divsChild>
            <w:div w:id="625042973">
              <w:marLeft w:val="0"/>
              <w:marRight w:val="0"/>
              <w:marTop w:val="0"/>
              <w:marBottom w:val="0"/>
              <w:divBdr>
                <w:top w:val="none" w:sz="0" w:space="0" w:color="auto"/>
                <w:left w:val="none" w:sz="0" w:space="0" w:color="auto"/>
                <w:bottom w:val="none" w:sz="0" w:space="0" w:color="auto"/>
                <w:right w:val="none" w:sz="0" w:space="0" w:color="auto"/>
              </w:divBdr>
              <w:divsChild>
                <w:div w:id="17784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3459">
          <w:marLeft w:val="0"/>
          <w:marRight w:val="0"/>
          <w:marTop w:val="240"/>
          <w:marBottom w:val="0"/>
          <w:divBdr>
            <w:top w:val="none" w:sz="0" w:space="0" w:color="auto"/>
            <w:left w:val="none" w:sz="0" w:space="0" w:color="auto"/>
            <w:bottom w:val="none" w:sz="0" w:space="0" w:color="auto"/>
            <w:right w:val="none" w:sz="0" w:space="0" w:color="auto"/>
          </w:divBdr>
          <w:divsChild>
            <w:div w:id="378867104">
              <w:marLeft w:val="0"/>
              <w:marRight w:val="0"/>
              <w:marTop w:val="0"/>
              <w:marBottom w:val="0"/>
              <w:divBdr>
                <w:top w:val="none" w:sz="0" w:space="0" w:color="auto"/>
                <w:left w:val="none" w:sz="0" w:space="0" w:color="auto"/>
                <w:bottom w:val="none" w:sz="0" w:space="0" w:color="auto"/>
                <w:right w:val="none" w:sz="0" w:space="0" w:color="auto"/>
              </w:divBdr>
              <w:divsChild>
                <w:div w:id="17420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549">
          <w:marLeft w:val="0"/>
          <w:marRight w:val="0"/>
          <w:marTop w:val="240"/>
          <w:marBottom w:val="0"/>
          <w:divBdr>
            <w:top w:val="none" w:sz="0" w:space="0" w:color="auto"/>
            <w:left w:val="none" w:sz="0" w:space="0" w:color="auto"/>
            <w:bottom w:val="none" w:sz="0" w:space="0" w:color="auto"/>
            <w:right w:val="none" w:sz="0" w:space="0" w:color="auto"/>
          </w:divBdr>
          <w:divsChild>
            <w:div w:id="1833375289">
              <w:marLeft w:val="0"/>
              <w:marRight w:val="0"/>
              <w:marTop w:val="0"/>
              <w:marBottom w:val="0"/>
              <w:divBdr>
                <w:top w:val="none" w:sz="0" w:space="0" w:color="auto"/>
                <w:left w:val="none" w:sz="0" w:space="0" w:color="auto"/>
                <w:bottom w:val="none" w:sz="0" w:space="0" w:color="auto"/>
                <w:right w:val="none" w:sz="0" w:space="0" w:color="auto"/>
              </w:divBdr>
              <w:divsChild>
                <w:div w:id="7842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5445">
          <w:marLeft w:val="0"/>
          <w:marRight w:val="0"/>
          <w:marTop w:val="240"/>
          <w:marBottom w:val="0"/>
          <w:divBdr>
            <w:top w:val="none" w:sz="0" w:space="0" w:color="auto"/>
            <w:left w:val="none" w:sz="0" w:space="0" w:color="auto"/>
            <w:bottom w:val="none" w:sz="0" w:space="0" w:color="auto"/>
            <w:right w:val="none" w:sz="0" w:space="0" w:color="auto"/>
          </w:divBdr>
          <w:divsChild>
            <w:div w:id="370033381">
              <w:marLeft w:val="0"/>
              <w:marRight w:val="0"/>
              <w:marTop w:val="0"/>
              <w:marBottom w:val="0"/>
              <w:divBdr>
                <w:top w:val="none" w:sz="0" w:space="0" w:color="auto"/>
                <w:left w:val="none" w:sz="0" w:space="0" w:color="auto"/>
                <w:bottom w:val="none" w:sz="0" w:space="0" w:color="auto"/>
                <w:right w:val="none" w:sz="0" w:space="0" w:color="auto"/>
              </w:divBdr>
              <w:divsChild>
                <w:div w:id="12158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8557">
          <w:marLeft w:val="0"/>
          <w:marRight w:val="0"/>
          <w:marTop w:val="240"/>
          <w:marBottom w:val="0"/>
          <w:divBdr>
            <w:top w:val="none" w:sz="0" w:space="0" w:color="auto"/>
            <w:left w:val="none" w:sz="0" w:space="0" w:color="auto"/>
            <w:bottom w:val="none" w:sz="0" w:space="0" w:color="auto"/>
            <w:right w:val="none" w:sz="0" w:space="0" w:color="auto"/>
          </w:divBdr>
          <w:divsChild>
            <w:div w:id="1851068432">
              <w:marLeft w:val="0"/>
              <w:marRight w:val="0"/>
              <w:marTop w:val="0"/>
              <w:marBottom w:val="0"/>
              <w:divBdr>
                <w:top w:val="none" w:sz="0" w:space="0" w:color="auto"/>
                <w:left w:val="none" w:sz="0" w:space="0" w:color="auto"/>
                <w:bottom w:val="none" w:sz="0" w:space="0" w:color="auto"/>
                <w:right w:val="none" w:sz="0" w:space="0" w:color="auto"/>
              </w:divBdr>
              <w:divsChild>
                <w:div w:id="112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8441">
          <w:marLeft w:val="0"/>
          <w:marRight w:val="0"/>
          <w:marTop w:val="240"/>
          <w:marBottom w:val="0"/>
          <w:divBdr>
            <w:top w:val="none" w:sz="0" w:space="0" w:color="auto"/>
            <w:left w:val="none" w:sz="0" w:space="0" w:color="auto"/>
            <w:bottom w:val="none" w:sz="0" w:space="0" w:color="auto"/>
            <w:right w:val="none" w:sz="0" w:space="0" w:color="auto"/>
          </w:divBdr>
          <w:divsChild>
            <w:div w:id="421798479">
              <w:marLeft w:val="0"/>
              <w:marRight w:val="0"/>
              <w:marTop w:val="0"/>
              <w:marBottom w:val="0"/>
              <w:divBdr>
                <w:top w:val="none" w:sz="0" w:space="0" w:color="auto"/>
                <w:left w:val="none" w:sz="0" w:space="0" w:color="auto"/>
                <w:bottom w:val="none" w:sz="0" w:space="0" w:color="auto"/>
                <w:right w:val="none" w:sz="0" w:space="0" w:color="auto"/>
              </w:divBdr>
              <w:divsChild>
                <w:div w:id="16826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2979">
          <w:marLeft w:val="0"/>
          <w:marRight w:val="0"/>
          <w:marTop w:val="240"/>
          <w:marBottom w:val="0"/>
          <w:divBdr>
            <w:top w:val="none" w:sz="0" w:space="0" w:color="auto"/>
            <w:left w:val="none" w:sz="0" w:space="0" w:color="auto"/>
            <w:bottom w:val="none" w:sz="0" w:space="0" w:color="auto"/>
            <w:right w:val="none" w:sz="0" w:space="0" w:color="auto"/>
          </w:divBdr>
          <w:divsChild>
            <w:div w:id="2070810553">
              <w:marLeft w:val="0"/>
              <w:marRight w:val="0"/>
              <w:marTop w:val="0"/>
              <w:marBottom w:val="0"/>
              <w:divBdr>
                <w:top w:val="none" w:sz="0" w:space="0" w:color="auto"/>
                <w:left w:val="none" w:sz="0" w:space="0" w:color="auto"/>
                <w:bottom w:val="none" w:sz="0" w:space="0" w:color="auto"/>
                <w:right w:val="none" w:sz="0" w:space="0" w:color="auto"/>
              </w:divBdr>
              <w:divsChild>
                <w:div w:id="153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6037">
          <w:marLeft w:val="0"/>
          <w:marRight w:val="0"/>
          <w:marTop w:val="240"/>
          <w:marBottom w:val="0"/>
          <w:divBdr>
            <w:top w:val="none" w:sz="0" w:space="0" w:color="auto"/>
            <w:left w:val="none" w:sz="0" w:space="0" w:color="auto"/>
            <w:bottom w:val="none" w:sz="0" w:space="0" w:color="auto"/>
            <w:right w:val="none" w:sz="0" w:space="0" w:color="auto"/>
          </w:divBdr>
          <w:divsChild>
            <w:div w:id="1267234250">
              <w:marLeft w:val="0"/>
              <w:marRight w:val="0"/>
              <w:marTop w:val="0"/>
              <w:marBottom w:val="0"/>
              <w:divBdr>
                <w:top w:val="none" w:sz="0" w:space="0" w:color="auto"/>
                <w:left w:val="none" w:sz="0" w:space="0" w:color="auto"/>
                <w:bottom w:val="none" w:sz="0" w:space="0" w:color="auto"/>
                <w:right w:val="none" w:sz="0" w:space="0" w:color="auto"/>
              </w:divBdr>
              <w:divsChild>
                <w:div w:id="6281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0420">
          <w:marLeft w:val="0"/>
          <w:marRight w:val="0"/>
          <w:marTop w:val="240"/>
          <w:marBottom w:val="0"/>
          <w:divBdr>
            <w:top w:val="none" w:sz="0" w:space="0" w:color="auto"/>
            <w:left w:val="none" w:sz="0" w:space="0" w:color="auto"/>
            <w:bottom w:val="none" w:sz="0" w:space="0" w:color="auto"/>
            <w:right w:val="none" w:sz="0" w:space="0" w:color="auto"/>
          </w:divBdr>
          <w:divsChild>
            <w:div w:id="623735346">
              <w:marLeft w:val="0"/>
              <w:marRight w:val="0"/>
              <w:marTop w:val="0"/>
              <w:marBottom w:val="0"/>
              <w:divBdr>
                <w:top w:val="none" w:sz="0" w:space="0" w:color="auto"/>
                <w:left w:val="none" w:sz="0" w:space="0" w:color="auto"/>
                <w:bottom w:val="none" w:sz="0" w:space="0" w:color="auto"/>
                <w:right w:val="none" w:sz="0" w:space="0" w:color="auto"/>
              </w:divBdr>
              <w:divsChild>
                <w:div w:id="3780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1240">
          <w:marLeft w:val="0"/>
          <w:marRight w:val="0"/>
          <w:marTop w:val="240"/>
          <w:marBottom w:val="0"/>
          <w:divBdr>
            <w:top w:val="none" w:sz="0" w:space="0" w:color="auto"/>
            <w:left w:val="none" w:sz="0" w:space="0" w:color="auto"/>
            <w:bottom w:val="none" w:sz="0" w:space="0" w:color="auto"/>
            <w:right w:val="none" w:sz="0" w:space="0" w:color="auto"/>
          </w:divBdr>
          <w:divsChild>
            <w:div w:id="535429778">
              <w:marLeft w:val="0"/>
              <w:marRight w:val="0"/>
              <w:marTop w:val="0"/>
              <w:marBottom w:val="0"/>
              <w:divBdr>
                <w:top w:val="none" w:sz="0" w:space="0" w:color="auto"/>
                <w:left w:val="none" w:sz="0" w:space="0" w:color="auto"/>
                <w:bottom w:val="none" w:sz="0" w:space="0" w:color="auto"/>
                <w:right w:val="none" w:sz="0" w:space="0" w:color="auto"/>
              </w:divBdr>
              <w:divsChild>
                <w:div w:id="11670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39">
          <w:marLeft w:val="0"/>
          <w:marRight w:val="0"/>
          <w:marTop w:val="240"/>
          <w:marBottom w:val="0"/>
          <w:divBdr>
            <w:top w:val="none" w:sz="0" w:space="0" w:color="auto"/>
            <w:left w:val="none" w:sz="0" w:space="0" w:color="auto"/>
            <w:bottom w:val="none" w:sz="0" w:space="0" w:color="auto"/>
            <w:right w:val="none" w:sz="0" w:space="0" w:color="auto"/>
          </w:divBdr>
          <w:divsChild>
            <w:div w:id="1167096430">
              <w:marLeft w:val="0"/>
              <w:marRight w:val="0"/>
              <w:marTop w:val="0"/>
              <w:marBottom w:val="0"/>
              <w:divBdr>
                <w:top w:val="none" w:sz="0" w:space="0" w:color="auto"/>
                <w:left w:val="none" w:sz="0" w:space="0" w:color="auto"/>
                <w:bottom w:val="none" w:sz="0" w:space="0" w:color="auto"/>
                <w:right w:val="none" w:sz="0" w:space="0" w:color="auto"/>
              </w:divBdr>
              <w:divsChild>
                <w:div w:id="621615805">
                  <w:marLeft w:val="0"/>
                  <w:marRight w:val="0"/>
                  <w:marTop w:val="0"/>
                  <w:marBottom w:val="0"/>
                  <w:divBdr>
                    <w:top w:val="none" w:sz="0" w:space="0" w:color="auto"/>
                    <w:left w:val="none" w:sz="0" w:space="0" w:color="auto"/>
                    <w:bottom w:val="none" w:sz="0" w:space="0" w:color="auto"/>
                    <w:right w:val="none" w:sz="0" w:space="0" w:color="auto"/>
                  </w:divBdr>
                </w:div>
              </w:divsChild>
            </w:div>
            <w:div w:id="1893615810">
              <w:marLeft w:val="0"/>
              <w:marRight w:val="0"/>
              <w:marTop w:val="240"/>
              <w:marBottom w:val="0"/>
              <w:divBdr>
                <w:top w:val="none" w:sz="0" w:space="0" w:color="auto"/>
                <w:left w:val="none" w:sz="0" w:space="0" w:color="auto"/>
                <w:bottom w:val="none" w:sz="0" w:space="0" w:color="auto"/>
                <w:right w:val="none" w:sz="0" w:space="0" w:color="auto"/>
              </w:divBdr>
              <w:divsChild>
                <w:div w:id="18023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7F85A-D773-444F-AA56-5DFBE87C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Clerk3</dc:creator>
  <cp:lastModifiedBy>L Tharney</cp:lastModifiedBy>
  <cp:revision>23</cp:revision>
  <cp:lastPrinted>2018-07-05T18:37:00Z</cp:lastPrinted>
  <dcterms:created xsi:type="dcterms:W3CDTF">2018-07-06T21:31:00Z</dcterms:created>
  <dcterms:modified xsi:type="dcterms:W3CDTF">2018-07-06T22:28:00Z</dcterms:modified>
</cp:coreProperties>
</file>