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2A" w:rsidRDefault="005E572A" w:rsidP="00FD24EC">
      <w:pPr>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sidR="005F1A75">
        <w:rPr>
          <w:rFonts w:ascii="Times New Roman" w:hAnsi="Times New Roman" w:cs="Times New Roman"/>
          <w:b/>
          <w:sz w:val="24"/>
          <w:szCs w:val="24"/>
        </w:rPr>
        <w:t>New Jersey Law Revision Commission</w:t>
      </w:r>
    </w:p>
    <w:p w:rsidR="005E572A" w:rsidRDefault="005E572A" w:rsidP="00FD24EC">
      <w:pPr>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sidR="002F41AD">
        <w:rPr>
          <w:rFonts w:ascii="Times New Roman" w:hAnsi="Times New Roman" w:cs="Times New Roman"/>
          <w:b/>
          <w:sz w:val="24"/>
          <w:szCs w:val="24"/>
        </w:rPr>
        <w:t>Renee Wilson</w:t>
      </w:r>
    </w:p>
    <w:p w:rsidR="00F52554" w:rsidRDefault="005E572A" w:rsidP="002D5A9F">
      <w:pPr>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00F52554">
        <w:rPr>
          <w:rFonts w:ascii="Times New Roman" w:hAnsi="Times New Roman" w:cs="Times New Roman"/>
          <w:b/>
          <w:sz w:val="24"/>
          <w:szCs w:val="24"/>
        </w:rPr>
        <w:t>Open Public Meetings Act N.J.S.A. 10:4-12(b) (8); N.J.S.A. 10:4-14</w:t>
      </w:r>
    </w:p>
    <w:p w:rsidR="005E572A" w:rsidRDefault="00F52554" w:rsidP="009623FD">
      <w:pPr>
        <w:rPr>
          <w:rFonts w:ascii="Times New Roman" w:hAnsi="Times New Roman" w:cs="Times New Roman"/>
          <w:b/>
          <w:sz w:val="24"/>
          <w:szCs w:val="24"/>
        </w:rPr>
      </w:pPr>
      <w:r>
        <w:rPr>
          <w:rFonts w:ascii="Times New Roman" w:hAnsi="Times New Roman" w:cs="Times New Roman"/>
          <w:b/>
          <w:sz w:val="24"/>
          <w:szCs w:val="24"/>
        </w:rPr>
        <w:t xml:space="preserve"> </w:t>
      </w:r>
      <w:r w:rsidR="005F1A75">
        <w:rPr>
          <w:rFonts w:ascii="Times New Roman" w:hAnsi="Times New Roman" w:cs="Times New Roman"/>
          <w:b/>
          <w:sz w:val="24"/>
          <w:szCs w:val="24"/>
        </w:rPr>
        <w:t>(</w:t>
      </w:r>
      <w:r w:rsidR="002D5A9F" w:rsidRPr="002D5A9F">
        <w:rPr>
          <w:rFonts w:ascii="Times New Roman" w:hAnsi="Times New Roman" w:cs="Times New Roman"/>
          <w:b/>
          <w:i/>
          <w:sz w:val="24"/>
          <w:szCs w:val="24"/>
        </w:rPr>
        <w:t>Kean Federation of Teachers v. Morell</w:t>
      </w:r>
      <w:r w:rsidR="005F1A75" w:rsidRPr="005F1A75">
        <w:rPr>
          <w:rFonts w:ascii="Times New Roman" w:hAnsi="Times New Roman" w:cs="Times New Roman"/>
          <w:b/>
          <w:i/>
          <w:sz w:val="24"/>
          <w:szCs w:val="24"/>
        </w:rPr>
        <w:t xml:space="preserve">, </w:t>
      </w:r>
      <w:r w:rsidR="002D5A9F">
        <w:rPr>
          <w:rFonts w:ascii="Times New Roman" w:hAnsi="Times New Roman" w:cs="Times New Roman"/>
          <w:b/>
          <w:sz w:val="24"/>
          <w:szCs w:val="24"/>
        </w:rPr>
        <w:t>448 N.J. Super. 520 (App. Div. 2017</w:t>
      </w:r>
      <w:r w:rsidR="005F1A75" w:rsidRPr="005F1A75">
        <w:rPr>
          <w:rFonts w:ascii="Times New Roman" w:hAnsi="Times New Roman" w:cs="Times New Roman"/>
          <w:b/>
          <w:sz w:val="24"/>
          <w:szCs w:val="24"/>
        </w:rPr>
        <w:t>)</w:t>
      </w:r>
      <w:r w:rsidR="005F1A75">
        <w:rPr>
          <w:rFonts w:ascii="Times New Roman" w:hAnsi="Times New Roman" w:cs="Times New Roman"/>
          <w:b/>
          <w:sz w:val="24"/>
          <w:szCs w:val="24"/>
        </w:rPr>
        <w:t>)</w:t>
      </w:r>
    </w:p>
    <w:p w:rsidR="005E572A" w:rsidRDefault="005E572A" w:rsidP="00FD24EC">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79307C">
        <w:rPr>
          <w:rFonts w:ascii="Times New Roman" w:hAnsi="Times New Roman" w:cs="Times New Roman"/>
          <w:b/>
          <w:sz w:val="24"/>
          <w:szCs w:val="24"/>
        </w:rPr>
        <w:t>February 5</w:t>
      </w:r>
      <w:r w:rsidR="00CA1D47">
        <w:rPr>
          <w:rFonts w:ascii="Times New Roman" w:hAnsi="Times New Roman" w:cs="Times New Roman"/>
          <w:b/>
          <w:sz w:val="24"/>
          <w:szCs w:val="24"/>
        </w:rPr>
        <w:t>, 2018</w:t>
      </w:r>
    </w:p>
    <w:p w:rsidR="005E572A" w:rsidRDefault="005E572A" w:rsidP="00FD24EC">
      <w:pPr>
        <w:tabs>
          <w:tab w:val="left" w:pos="1945"/>
        </w:tabs>
        <w:rPr>
          <w:rFonts w:ascii="Times New Roman" w:hAnsi="Times New Roman" w:cs="Times New Roman"/>
          <w:sz w:val="24"/>
          <w:szCs w:val="24"/>
        </w:rPr>
      </w:pPr>
      <w:r>
        <w:rPr>
          <w:rFonts w:ascii="Times New Roman" w:hAnsi="Times New Roman" w:cs="Times New Roman"/>
          <w:sz w:val="24"/>
          <w:szCs w:val="24"/>
        </w:rPr>
        <w:tab/>
      </w:r>
    </w:p>
    <w:p w:rsidR="005E572A" w:rsidRDefault="005E572A" w:rsidP="00FD24EC">
      <w:pPr>
        <w:jc w:val="center"/>
        <w:rPr>
          <w:rFonts w:ascii="Times New Roman" w:hAnsi="Times New Roman" w:cs="Times New Roman"/>
          <w:sz w:val="24"/>
          <w:szCs w:val="24"/>
        </w:rPr>
      </w:pPr>
      <w:r>
        <w:rPr>
          <w:rFonts w:ascii="Times New Roman" w:hAnsi="Times New Roman" w:cs="Times New Roman"/>
          <w:b/>
          <w:sz w:val="24"/>
          <w:szCs w:val="24"/>
        </w:rPr>
        <w:t>M E M O R A N D U M</w:t>
      </w:r>
    </w:p>
    <w:p w:rsidR="005E572A" w:rsidRDefault="005E572A" w:rsidP="00FD24EC">
      <w:pPr>
        <w:jc w:val="center"/>
        <w:rPr>
          <w:rFonts w:ascii="Times New Roman" w:hAnsi="Times New Roman" w:cs="Times New Roman"/>
          <w:sz w:val="24"/>
          <w:szCs w:val="24"/>
        </w:rPr>
      </w:pPr>
    </w:p>
    <w:p w:rsidR="005E572A" w:rsidRDefault="005E572A" w:rsidP="00FD24EC">
      <w:pPr>
        <w:jc w:val="center"/>
        <w:rPr>
          <w:rFonts w:ascii="Times New Roman" w:hAnsi="Times New Roman" w:cs="Times New Roman"/>
          <w:sz w:val="24"/>
          <w:szCs w:val="24"/>
        </w:rPr>
      </w:pPr>
      <w:r>
        <w:rPr>
          <w:rFonts w:ascii="Times New Roman" w:hAnsi="Times New Roman" w:cs="Times New Roman"/>
          <w:b/>
          <w:sz w:val="24"/>
          <w:szCs w:val="24"/>
        </w:rPr>
        <w:t>Executive Summary</w:t>
      </w:r>
    </w:p>
    <w:p w:rsidR="005E572A" w:rsidRDefault="005E572A" w:rsidP="00FD24EC">
      <w:pPr>
        <w:jc w:val="center"/>
        <w:rPr>
          <w:rFonts w:ascii="Times New Roman" w:hAnsi="Times New Roman" w:cs="Times New Roman"/>
          <w:sz w:val="24"/>
          <w:szCs w:val="24"/>
        </w:rPr>
      </w:pPr>
    </w:p>
    <w:p w:rsidR="0057667D" w:rsidRDefault="00B44A3B" w:rsidP="00FD24E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F52554">
        <w:rPr>
          <w:rFonts w:ascii="Times New Roman" w:hAnsi="Times New Roman" w:cs="Times New Roman"/>
          <w:i/>
          <w:sz w:val="24"/>
          <w:szCs w:val="24"/>
        </w:rPr>
        <w:t>Kean Federation of Teachers v. Morell</w:t>
      </w:r>
      <w:r w:rsidR="00F52554">
        <w:rPr>
          <w:rFonts w:ascii="Times New Roman" w:hAnsi="Times New Roman" w:cs="Times New Roman"/>
          <w:sz w:val="24"/>
          <w:szCs w:val="24"/>
        </w:rPr>
        <w:t>,</w:t>
      </w:r>
      <w:r w:rsidR="002D5A9F">
        <w:rPr>
          <w:rFonts w:ascii="Times New Roman" w:hAnsi="Times New Roman" w:cs="Times New Roman"/>
          <w:sz w:val="24"/>
          <w:szCs w:val="24"/>
        </w:rPr>
        <w:t xml:space="preserve"> </w:t>
      </w:r>
      <w:r w:rsidR="00B24DE4">
        <w:rPr>
          <w:rFonts w:ascii="Times New Roman" w:hAnsi="Times New Roman" w:cs="Times New Roman"/>
          <w:sz w:val="24"/>
          <w:szCs w:val="24"/>
        </w:rPr>
        <w:t xml:space="preserve">the </w:t>
      </w:r>
      <w:r w:rsidR="00FF150E">
        <w:rPr>
          <w:rFonts w:ascii="Times New Roman" w:hAnsi="Times New Roman" w:cs="Times New Roman"/>
          <w:sz w:val="24"/>
          <w:szCs w:val="24"/>
        </w:rPr>
        <w:t>Court</w:t>
      </w:r>
      <w:r w:rsidR="00B24DE4">
        <w:rPr>
          <w:rFonts w:ascii="Times New Roman" w:hAnsi="Times New Roman" w:cs="Times New Roman"/>
          <w:sz w:val="24"/>
          <w:szCs w:val="24"/>
        </w:rPr>
        <w:t xml:space="preserve"> considered</w:t>
      </w:r>
      <w:r w:rsidR="00213310">
        <w:rPr>
          <w:rFonts w:ascii="Times New Roman" w:hAnsi="Times New Roman" w:cs="Times New Roman"/>
          <w:sz w:val="24"/>
          <w:szCs w:val="24"/>
        </w:rPr>
        <w:t xml:space="preserve"> </w:t>
      </w:r>
      <w:r w:rsidR="00CA1D47">
        <w:rPr>
          <w:rFonts w:ascii="Times New Roman" w:hAnsi="Times New Roman" w:cs="Times New Roman"/>
          <w:sz w:val="24"/>
          <w:szCs w:val="24"/>
        </w:rPr>
        <w:t>two issues.</w:t>
      </w:r>
      <w:r w:rsidR="0057667D">
        <w:rPr>
          <w:rStyle w:val="FootnoteReference"/>
          <w:rFonts w:cs="Times New Roman"/>
          <w:sz w:val="24"/>
          <w:szCs w:val="24"/>
        </w:rPr>
        <w:footnoteReference w:id="1"/>
      </w:r>
      <w:r w:rsidR="00CA1D47">
        <w:rPr>
          <w:rFonts w:ascii="Times New Roman" w:hAnsi="Times New Roman" w:cs="Times New Roman"/>
          <w:sz w:val="24"/>
          <w:szCs w:val="24"/>
        </w:rPr>
        <w:t xml:space="preserve"> The first was whether Kean University’s Board</w:t>
      </w:r>
      <w:r w:rsidR="00060089">
        <w:rPr>
          <w:rFonts w:ascii="Times New Roman" w:hAnsi="Times New Roman" w:cs="Times New Roman"/>
          <w:sz w:val="24"/>
          <w:szCs w:val="24"/>
        </w:rPr>
        <w:t xml:space="preserve"> of Trustees</w:t>
      </w:r>
      <w:r w:rsidR="00CA1D47">
        <w:rPr>
          <w:rFonts w:ascii="Times New Roman" w:hAnsi="Times New Roman" w:cs="Times New Roman"/>
          <w:sz w:val="24"/>
          <w:szCs w:val="24"/>
        </w:rPr>
        <w:t xml:space="preserve"> violated the Open Public Meetings Act (OPMA), by failing to make meeting minutes “promptly available,”</w:t>
      </w:r>
      <w:r w:rsidR="00213310">
        <w:rPr>
          <w:rFonts w:ascii="Times New Roman" w:hAnsi="Times New Roman" w:cs="Times New Roman"/>
          <w:sz w:val="24"/>
          <w:szCs w:val="24"/>
        </w:rPr>
        <w:t xml:space="preserve"> </w:t>
      </w:r>
      <w:r w:rsidR="00CA1D47">
        <w:rPr>
          <w:rFonts w:ascii="Times New Roman" w:hAnsi="Times New Roman" w:cs="Times New Roman"/>
          <w:sz w:val="24"/>
          <w:szCs w:val="24"/>
        </w:rPr>
        <w:t>as required by the Act.</w:t>
      </w:r>
      <w:r w:rsidR="0057667D">
        <w:rPr>
          <w:rStyle w:val="FootnoteReference"/>
          <w:rFonts w:cs="Times New Roman"/>
          <w:sz w:val="24"/>
          <w:szCs w:val="24"/>
        </w:rPr>
        <w:footnoteReference w:id="2"/>
      </w:r>
      <w:r w:rsidR="00CA1D47">
        <w:rPr>
          <w:rFonts w:ascii="Times New Roman" w:hAnsi="Times New Roman" w:cs="Times New Roman"/>
          <w:sz w:val="24"/>
          <w:szCs w:val="24"/>
        </w:rPr>
        <w:t xml:space="preserve"> The second issue was whether the Board also failed to provide proper notice </w:t>
      </w:r>
      <w:r w:rsidR="0057667D">
        <w:rPr>
          <w:rFonts w:ascii="Times New Roman" w:hAnsi="Times New Roman" w:cs="Times New Roman"/>
          <w:sz w:val="24"/>
          <w:szCs w:val="24"/>
        </w:rPr>
        <w:t xml:space="preserve">in violation of the OPMA </w:t>
      </w:r>
      <w:r w:rsidR="00CA1D47">
        <w:rPr>
          <w:rFonts w:ascii="Times New Roman" w:hAnsi="Times New Roman" w:cs="Times New Roman"/>
          <w:sz w:val="24"/>
          <w:szCs w:val="24"/>
        </w:rPr>
        <w:t xml:space="preserve">regarding its decision to terminate </w:t>
      </w:r>
      <w:r w:rsidR="00060089">
        <w:rPr>
          <w:rFonts w:ascii="Times New Roman" w:hAnsi="Times New Roman" w:cs="Times New Roman"/>
          <w:sz w:val="24"/>
          <w:szCs w:val="24"/>
        </w:rPr>
        <w:t>the position of a</w:t>
      </w:r>
      <w:r w:rsidR="00CA1D47">
        <w:rPr>
          <w:rFonts w:ascii="Times New Roman" w:hAnsi="Times New Roman" w:cs="Times New Roman"/>
          <w:sz w:val="24"/>
          <w:szCs w:val="24"/>
        </w:rPr>
        <w:t xml:space="preserve"> faculty member.</w:t>
      </w:r>
      <w:r w:rsidR="00CA1D47">
        <w:rPr>
          <w:rStyle w:val="FootnoteReference"/>
          <w:rFonts w:cs="Times New Roman"/>
          <w:sz w:val="24"/>
          <w:szCs w:val="24"/>
        </w:rPr>
        <w:footnoteReference w:id="3"/>
      </w:r>
      <w:r w:rsidR="00CA1D47">
        <w:rPr>
          <w:rFonts w:ascii="Times New Roman" w:hAnsi="Times New Roman" w:cs="Times New Roman"/>
          <w:sz w:val="24"/>
          <w:szCs w:val="24"/>
        </w:rPr>
        <w:t xml:space="preserve"> </w:t>
      </w:r>
    </w:p>
    <w:p w:rsidR="0057667D" w:rsidRDefault="0057667D" w:rsidP="00FD24EC">
      <w:pPr>
        <w:spacing w:line="276" w:lineRule="auto"/>
        <w:ind w:firstLine="720"/>
        <w:jc w:val="both"/>
        <w:rPr>
          <w:rFonts w:ascii="Times New Roman" w:hAnsi="Times New Roman" w:cs="Times New Roman"/>
          <w:sz w:val="24"/>
          <w:szCs w:val="24"/>
        </w:rPr>
      </w:pPr>
    </w:p>
    <w:p w:rsidR="00FD24EC" w:rsidRDefault="00FD24EC" w:rsidP="00FD24EC">
      <w:pPr>
        <w:spacing w:line="276" w:lineRule="auto"/>
        <w:ind w:firstLine="720"/>
        <w:jc w:val="both"/>
        <w:rPr>
          <w:rFonts w:ascii="Times New Roman" w:hAnsi="Times New Roman" w:cs="Times New Roman"/>
          <w:sz w:val="24"/>
          <w:szCs w:val="24"/>
        </w:rPr>
      </w:pPr>
    </w:p>
    <w:p w:rsidR="005E572A" w:rsidRDefault="005E572A" w:rsidP="00FD24EC">
      <w:pPr>
        <w:spacing w:line="276" w:lineRule="auto"/>
        <w:jc w:val="center"/>
        <w:rPr>
          <w:rFonts w:ascii="Times New Roman" w:hAnsi="Times New Roman" w:cs="Times New Roman"/>
          <w:sz w:val="24"/>
          <w:szCs w:val="24"/>
        </w:rPr>
      </w:pPr>
      <w:r>
        <w:rPr>
          <w:rFonts w:ascii="Times New Roman" w:hAnsi="Times New Roman" w:cs="Times New Roman"/>
          <w:b/>
          <w:sz w:val="24"/>
          <w:szCs w:val="24"/>
        </w:rPr>
        <w:t>Background</w:t>
      </w:r>
    </w:p>
    <w:p w:rsidR="005F1A75" w:rsidRDefault="005F1A75" w:rsidP="00FD24EC">
      <w:pPr>
        <w:spacing w:line="276" w:lineRule="auto"/>
        <w:ind w:firstLine="720"/>
        <w:rPr>
          <w:rFonts w:ascii="Times New Roman" w:hAnsi="Times New Roman" w:cs="Times New Roman"/>
          <w:sz w:val="24"/>
          <w:szCs w:val="24"/>
        </w:rPr>
      </w:pPr>
    </w:p>
    <w:p w:rsidR="005F1A75" w:rsidRDefault="005F1A75" w:rsidP="00FD24E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C3954">
        <w:rPr>
          <w:rFonts w:ascii="Times New Roman" w:hAnsi="Times New Roman" w:cs="Times New Roman"/>
          <w:sz w:val="24"/>
          <w:szCs w:val="24"/>
        </w:rPr>
        <w:t>Plaintiff</w:t>
      </w:r>
      <w:r w:rsidR="006B0039">
        <w:rPr>
          <w:rFonts w:ascii="Times New Roman" w:hAnsi="Times New Roman" w:cs="Times New Roman"/>
          <w:sz w:val="24"/>
          <w:szCs w:val="24"/>
        </w:rPr>
        <w:t>s</w:t>
      </w:r>
      <w:r w:rsidR="00DC3954">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B0039" w:rsidRPr="006B0039">
        <w:rPr>
          <w:rFonts w:ascii="Times New Roman" w:hAnsi="Times New Roman" w:cs="Times New Roman"/>
          <w:i/>
          <w:sz w:val="24"/>
          <w:szCs w:val="24"/>
        </w:rPr>
        <w:t>Kean Federation of Teachers v. Morell</w:t>
      </w:r>
      <w:r w:rsidR="006B0039">
        <w:rPr>
          <w:rFonts w:ascii="Times New Roman" w:hAnsi="Times New Roman" w:cs="Times New Roman"/>
          <w:sz w:val="24"/>
          <w:szCs w:val="24"/>
        </w:rPr>
        <w:t xml:space="preserve"> alleged that the Board of Trustees of Kean University violated OPMA when </w:t>
      </w:r>
      <w:r w:rsidR="00060089">
        <w:rPr>
          <w:rFonts w:ascii="Times New Roman" w:hAnsi="Times New Roman" w:cs="Times New Roman"/>
          <w:sz w:val="24"/>
          <w:szCs w:val="24"/>
        </w:rPr>
        <w:t>it</w:t>
      </w:r>
      <w:r w:rsidR="006B0039">
        <w:rPr>
          <w:rFonts w:ascii="Times New Roman" w:hAnsi="Times New Roman" w:cs="Times New Roman"/>
          <w:sz w:val="24"/>
          <w:szCs w:val="24"/>
        </w:rPr>
        <w:t xml:space="preserve"> failed to make the Board’s minutes from the September 2014 and December 2014 meetings “promptly available,” as required by the Act</w:t>
      </w:r>
      <w:r w:rsidR="00060089">
        <w:rPr>
          <w:rFonts w:ascii="Times New Roman" w:hAnsi="Times New Roman" w:cs="Times New Roman"/>
          <w:sz w:val="24"/>
          <w:szCs w:val="24"/>
        </w:rPr>
        <w:t>.</w:t>
      </w:r>
      <w:r w:rsidR="006B0039">
        <w:rPr>
          <w:rStyle w:val="FootnoteReference"/>
          <w:rFonts w:cs="Times New Roman"/>
          <w:sz w:val="24"/>
          <w:szCs w:val="24"/>
        </w:rPr>
        <w:footnoteReference w:id="4"/>
      </w:r>
      <w:r w:rsidR="00060089">
        <w:rPr>
          <w:rFonts w:ascii="Times New Roman" w:hAnsi="Times New Roman" w:cs="Times New Roman"/>
          <w:sz w:val="24"/>
          <w:szCs w:val="24"/>
        </w:rPr>
        <w:t xml:space="preserve"> </w:t>
      </w:r>
      <w:r w:rsidR="006B0039">
        <w:rPr>
          <w:rFonts w:ascii="Times New Roman" w:hAnsi="Times New Roman" w:cs="Times New Roman"/>
          <w:sz w:val="24"/>
          <w:szCs w:val="24"/>
        </w:rPr>
        <w:t>Specifically, the September minutes were made available ninety-</w:t>
      </w:r>
      <w:r w:rsidR="00B06AA2">
        <w:rPr>
          <w:rFonts w:ascii="Times New Roman" w:hAnsi="Times New Roman" w:cs="Times New Roman"/>
          <w:sz w:val="24"/>
          <w:szCs w:val="24"/>
        </w:rPr>
        <w:t xml:space="preserve">four </w:t>
      </w:r>
      <w:r w:rsidR="006B0039">
        <w:rPr>
          <w:rFonts w:ascii="Times New Roman" w:hAnsi="Times New Roman" w:cs="Times New Roman"/>
          <w:sz w:val="24"/>
          <w:szCs w:val="24"/>
        </w:rPr>
        <w:t>days after the meeting and the December minutes we</w:t>
      </w:r>
      <w:r w:rsidR="00B06AA2">
        <w:rPr>
          <w:rFonts w:ascii="Times New Roman" w:hAnsi="Times New Roman" w:cs="Times New Roman"/>
          <w:sz w:val="24"/>
          <w:szCs w:val="24"/>
        </w:rPr>
        <w:t xml:space="preserve">re made available fifty-eight </w:t>
      </w:r>
      <w:r w:rsidR="006B0039">
        <w:rPr>
          <w:rFonts w:ascii="Times New Roman" w:hAnsi="Times New Roman" w:cs="Times New Roman"/>
          <w:sz w:val="24"/>
          <w:szCs w:val="24"/>
        </w:rPr>
        <w:t>days after the meeting.</w:t>
      </w:r>
      <w:r w:rsidR="006B0039">
        <w:rPr>
          <w:rStyle w:val="FootnoteReference"/>
          <w:rFonts w:cs="Times New Roman"/>
          <w:sz w:val="24"/>
          <w:szCs w:val="24"/>
        </w:rPr>
        <w:footnoteReference w:id="5"/>
      </w:r>
      <w:r w:rsidR="006B0039">
        <w:rPr>
          <w:rFonts w:ascii="Times New Roman" w:hAnsi="Times New Roman" w:cs="Times New Roman"/>
          <w:sz w:val="24"/>
          <w:szCs w:val="24"/>
        </w:rPr>
        <w:t xml:space="preserve"> Further, Plaintiffs also alleged that the Board terminated faculty member, Valera </w:t>
      </w:r>
      <w:proofErr w:type="spellStart"/>
      <w:r w:rsidR="006B0039">
        <w:rPr>
          <w:rFonts w:ascii="Times New Roman" w:hAnsi="Times New Roman" w:cs="Times New Roman"/>
          <w:sz w:val="24"/>
          <w:szCs w:val="24"/>
        </w:rPr>
        <w:t>Hascup’s</w:t>
      </w:r>
      <w:proofErr w:type="spellEnd"/>
      <w:r w:rsidR="006B0039">
        <w:rPr>
          <w:rFonts w:ascii="Times New Roman" w:hAnsi="Times New Roman" w:cs="Times New Roman"/>
          <w:sz w:val="24"/>
          <w:szCs w:val="24"/>
        </w:rPr>
        <w:t xml:space="preserve"> position without sending her notice, </w:t>
      </w:r>
      <w:r w:rsidR="00060089">
        <w:rPr>
          <w:rFonts w:ascii="Times New Roman" w:hAnsi="Times New Roman" w:cs="Times New Roman"/>
          <w:sz w:val="24"/>
          <w:szCs w:val="24"/>
        </w:rPr>
        <w:t xml:space="preserve">as </w:t>
      </w:r>
      <w:r w:rsidR="006B0039">
        <w:rPr>
          <w:rFonts w:ascii="Times New Roman" w:hAnsi="Times New Roman" w:cs="Times New Roman"/>
          <w:sz w:val="24"/>
          <w:szCs w:val="24"/>
        </w:rPr>
        <w:t xml:space="preserve">required in the </w:t>
      </w:r>
      <w:r w:rsidR="00FF150E">
        <w:rPr>
          <w:rFonts w:ascii="Times New Roman" w:hAnsi="Times New Roman" w:cs="Times New Roman"/>
          <w:sz w:val="24"/>
          <w:szCs w:val="24"/>
        </w:rPr>
        <w:t>Court</w:t>
      </w:r>
      <w:r w:rsidR="006B0039">
        <w:rPr>
          <w:rFonts w:ascii="Times New Roman" w:hAnsi="Times New Roman" w:cs="Times New Roman"/>
          <w:sz w:val="24"/>
          <w:szCs w:val="24"/>
        </w:rPr>
        <w:t xml:space="preserve">’s decision in </w:t>
      </w:r>
      <w:r w:rsidR="00B06AA2">
        <w:rPr>
          <w:rFonts w:ascii="Times New Roman" w:hAnsi="Times New Roman" w:cs="Times New Roman"/>
          <w:i/>
          <w:sz w:val="24"/>
          <w:szCs w:val="24"/>
        </w:rPr>
        <w:t>Rice</w:t>
      </w:r>
      <w:r w:rsidR="000B3114">
        <w:rPr>
          <w:rFonts w:ascii="Times New Roman" w:hAnsi="Times New Roman" w:cs="Times New Roman"/>
          <w:i/>
          <w:sz w:val="24"/>
          <w:szCs w:val="24"/>
        </w:rPr>
        <w:t xml:space="preserve"> v. Union County Regional High School Board of Education, </w:t>
      </w:r>
      <w:r w:rsidR="000B3114">
        <w:rPr>
          <w:rFonts w:ascii="Times New Roman" w:hAnsi="Times New Roman" w:cs="Times New Roman"/>
          <w:sz w:val="24"/>
          <w:szCs w:val="24"/>
        </w:rPr>
        <w:t xml:space="preserve">155 </w:t>
      </w:r>
      <w:r w:rsidR="000B3114">
        <w:rPr>
          <w:rFonts w:ascii="Times New Roman" w:hAnsi="Times New Roman" w:cs="Times New Roman"/>
          <w:i/>
          <w:sz w:val="24"/>
          <w:szCs w:val="24"/>
        </w:rPr>
        <w:t>N.J. Super</w:t>
      </w:r>
      <w:r w:rsidR="000B3114">
        <w:rPr>
          <w:rFonts w:ascii="Times New Roman" w:hAnsi="Times New Roman" w:cs="Times New Roman"/>
          <w:sz w:val="24"/>
          <w:szCs w:val="24"/>
        </w:rPr>
        <w:t>. 64, 382 A.2d 386 (App. Div. 1977)</w:t>
      </w:r>
      <w:r w:rsidR="00B06AA2">
        <w:rPr>
          <w:rFonts w:ascii="Times New Roman" w:hAnsi="Times New Roman" w:cs="Times New Roman"/>
          <w:sz w:val="24"/>
          <w:szCs w:val="24"/>
        </w:rPr>
        <w:t>.</w:t>
      </w:r>
      <w:r w:rsidR="00B06AA2">
        <w:rPr>
          <w:rStyle w:val="FootnoteReference"/>
          <w:rFonts w:cs="Times New Roman"/>
          <w:sz w:val="24"/>
          <w:szCs w:val="24"/>
        </w:rPr>
        <w:footnoteReference w:id="6"/>
      </w:r>
      <w:r w:rsidR="00B06AA2">
        <w:rPr>
          <w:rFonts w:ascii="Times New Roman" w:hAnsi="Times New Roman" w:cs="Times New Roman"/>
          <w:sz w:val="24"/>
          <w:szCs w:val="24"/>
        </w:rPr>
        <w:t xml:space="preserve"> </w:t>
      </w:r>
    </w:p>
    <w:p w:rsidR="00852549" w:rsidRDefault="00852549" w:rsidP="00FD24EC">
      <w:pPr>
        <w:spacing w:line="276" w:lineRule="auto"/>
        <w:ind w:firstLine="720"/>
        <w:jc w:val="both"/>
        <w:rPr>
          <w:rFonts w:ascii="Times New Roman" w:hAnsi="Times New Roman" w:cs="Times New Roman"/>
          <w:sz w:val="24"/>
          <w:szCs w:val="24"/>
        </w:rPr>
      </w:pPr>
    </w:p>
    <w:p w:rsidR="00852549" w:rsidRDefault="00852549" w:rsidP="00852549">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The Trial Court found that the meeting minutes were not made “promptly available” as required by the OPMA, and suggested that the Board should adopt a meeting schedule which would enable it to make minutes “promptly available”.</w:t>
      </w:r>
      <w:r>
        <w:rPr>
          <w:rStyle w:val="FootnoteReference"/>
          <w:rFonts w:eastAsia="Times New Roman" w:cs="Times New Roman"/>
          <w:color w:val="212121"/>
          <w:sz w:val="24"/>
          <w:szCs w:val="24"/>
          <w:shd w:val="clear" w:color="auto" w:fill="FFFFFF"/>
        </w:rPr>
        <w:footnoteReference w:id="7"/>
      </w:r>
      <w:r>
        <w:rPr>
          <w:rFonts w:ascii="Times New Roman" w:eastAsia="Times New Roman" w:hAnsi="Times New Roman" w:cs="Times New Roman"/>
          <w:color w:val="212121"/>
          <w:sz w:val="24"/>
          <w:szCs w:val="24"/>
          <w:shd w:val="clear" w:color="auto" w:fill="FFFFFF"/>
        </w:rPr>
        <w:t xml:space="preserve"> The Board appealed the Court’s determination on that basis. The Trial Court determined, however, that the Board was not in violation of the </w:t>
      </w:r>
      <w:r>
        <w:rPr>
          <w:rFonts w:ascii="Times New Roman" w:eastAsia="Times New Roman" w:hAnsi="Times New Roman" w:cs="Times New Roman"/>
          <w:i/>
          <w:color w:val="212121"/>
          <w:sz w:val="24"/>
          <w:szCs w:val="24"/>
          <w:shd w:val="clear" w:color="auto" w:fill="FFFFFF"/>
        </w:rPr>
        <w:t xml:space="preserve">Rice </w:t>
      </w:r>
      <w:r>
        <w:rPr>
          <w:rFonts w:ascii="Times New Roman" w:eastAsia="Times New Roman" w:hAnsi="Times New Roman" w:cs="Times New Roman"/>
          <w:color w:val="212121"/>
          <w:sz w:val="24"/>
          <w:szCs w:val="24"/>
          <w:shd w:val="clear" w:color="auto" w:fill="FFFFFF"/>
        </w:rPr>
        <w:t>notice requirements, which call for notification of the employee when a public body intends to act on matters “involving the employment, appointment, termination of employment, terms and conditions of employment, evaluation of the performance of, promotion, or disciplining of any specific prospective public officer or employee or current public officer or employee employed or appointed by the public body.”</w:t>
      </w:r>
      <w:r>
        <w:rPr>
          <w:rStyle w:val="FootnoteReference"/>
          <w:rFonts w:eastAsia="Times New Roman" w:cs="Times New Roman"/>
          <w:color w:val="212121"/>
          <w:sz w:val="24"/>
          <w:szCs w:val="24"/>
          <w:shd w:val="clear" w:color="auto" w:fill="FFFFFF"/>
        </w:rPr>
        <w:footnoteReference w:id="8"/>
      </w:r>
      <w:r>
        <w:rPr>
          <w:rFonts w:ascii="Times New Roman" w:eastAsia="Times New Roman" w:hAnsi="Times New Roman" w:cs="Times New Roman"/>
          <w:color w:val="212121"/>
          <w:sz w:val="24"/>
          <w:szCs w:val="24"/>
          <w:shd w:val="clear" w:color="auto" w:fill="FFFFFF"/>
        </w:rPr>
        <w:t xml:space="preserve"> The plaintiffs appealed the Court’s determination on that basis. </w:t>
      </w:r>
    </w:p>
    <w:p w:rsidR="00852549" w:rsidRDefault="00852549" w:rsidP="00852549">
      <w:pPr>
        <w:spacing w:line="276" w:lineRule="auto"/>
        <w:ind w:firstLine="720"/>
        <w:jc w:val="both"/>
        <w:rPr>
          <w:rFonts w:ascii="Times New Roman" w:eastAsia="Times New Roman" w:hAnsi="Times New Roman" w:cs="Times New Roman"/>
          <w:color w:val="212121"/>
          <w:sz w:val="24"/>
          <w:szCs w:val="24"/>
          <w:shd w:val="clear" w:color="auto" w:fill="FFFFFF"/>
        </w:rPr>
      </w:pPr>
    </w:p>
    <w:p w:rsidR="00852549" w:rsidRDefault="00852549" w:rsidP="00852549">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 OPMA does not define “promptly available,” with regard to adhering to a specific time frame for releasing meeting minutes, nor does it specify that any form of notice must be sent to employees whose employment status would be affected by action of a public body at its meeting. </w:t>
      </w:r>
    </w:p>
    <w:p w:rsidR="0057667D" w:rsidRPr="00B06AA2" w:rsidRDefault="0057667D" w:rsidP="00FD24EC">
      <w:pPr>
        <w:spacing w:line="276" w:lineRule="auto"/>
        <w:ind w:firstLine="720"/>
        <w:jc w:val="both"/>
        <w:rPr>
          <w:rFonts w:ascii="Times New Roman" w:hAnsi="Times New Roman" w:cs="Times New Roman"/>
          <w:sz w:val="24"/>
          <w:szCs w:val="24"/>
        </w:rPr>
      </w:pPr>
    </w:p>
    <w:p w:rsidR="005F1A75" w:rsidRDefault="00E01E40" w:rsidP="00E01E40">
      <w:pPr>
        <w:spacing w:line="276"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Issue One </w:t>
      </w:r>
      <w:r w:rsidR="00A11438">
        <w:rPr>
          <w:rFonts w:ascii="Times New Roman" w:hAnsi="Times New Roman" w:cs="Times New Roman"/>
          <w:b/>
          <w:sz w:val="24"/>
          <w:szCs w:val="24"/>
        </w:rPr>
        <w:t>-</w:t>
      </w:r>
      <w:r>
        <w:rPr>
          <w:rFonts w:ascii="Times New Roman" w:hAnsi="Times New Roman" w:cs="Times New Roman"/>
          <w:b/>
          <w:sz w:val="24"/>
          <w:szCs w:val="24"/>
        </w:rPr>
        <w:t xml:space="preserve"> Meeting Minutes</w:t>
      </w:r>
    </w:p>
    <w:p w:rsidR="00E01E40" w:rsidRPr="00E01E40" w:rsidRDefault="00E01E40" w:rsidP="00E01E40">
      <w:pPr>
        <w:spacing w:line="276" w:lineRule="auto"/>
        <w:ind w:firstLine="720"/>
        <w:jc w:val="center"/>
        <w:rPr>
          <w:rFonts w:ascii="Times New Roman" w:hAnsi="Times New Roman" w:cs="Times New Roman"/>
          <w:b/>
          <w:sz w:val="24"/>
          <w:szCs w:val="24"/>
        </w:rPr>
      </w:pPr>
    </w:p>
    <w:p w:rsidR="00FA73B5" w:rsidRDefault="00852549" w:rsidP="00FD24E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As noted above, t</w:t>
      </w:r>
      <w:r w:rsidR="001D6134">
        <w:rPr>
          <w:rFonts w:ascii="Times New Roman" w:hAnsi="Times New Roman" w:cs="Times New Roman"/>
          <w:sz w:val="24"/>
          <w:szCs w:val="24"/>
        </w:rPr>
        <w:t xml:space="preserve">he </w:t>
      </w:r>
      <w:r>
        <w:rPr>
          <w:rFonts w:ascii="Times New Roman" w:hAnsi="Times New Roman" w:cs="Times New Roman"/>
          <w:sz w:val="24"/>
          <w:szCs w:val="24"/>
        </w:rPr>
        <w:t>T</w:t>
      </w:r>
      <w:r w:rsidR="00B06AA2">
        <w:rPr>
          <w:rFonts w:ascii="Times New Roman" w:hAnsi="Times New Roman" w:cs="Times New Roman"/>
          <w:sz w:val="24"/>
          <w:szCs w:val="24"/>
        </w:rPr>
        <w:t xml:space="preserve">rial </w:t>
      </w:r>
      <w:r w:rsidR="00FF150E">
        <w:rPr>
          <w:rFonts w:ascii="Times New Roman" w:hAnsi="Times New Roman" w:cs="Times New Roman"/>
          <w:sz w:val="24"/>
          <w:szCs w:val="24"/>
        </w:rPr>
        <w:t>Court</w:t>
      </w:r>
      <w:r w:rsidR="00B06AA2">
        <w:rPr>
          <w:rFonts w:ascii="Times New Roman" w:hAnsi="Times New Roman" w:cs="Times New Roman"/>
          <w:sz w:val="24"/>
          <w:szCs w:val="24"/>
        </w:rPr>
        <w:t xml:space="preserve"> agreed with Plaintiffs with regard to the meeting minutes</w:t>
      </w:r>
      <w:r>
        <w:rPr>
          <w:rFonts w:ascii="Times New Roman" w:hAnsi="Times New Roman" w:cs="Times New Roman"/>
          <w:sz w:val="24"/>
          <w:szCs w:val="24"/>
        </w:rPr>
        <w:t xml:space="preserve"> and </w:t>
      </w:r>
      <w:r w:rsidR="00B06AA2">
        <w:rPr>
          <w:rFonts w:ascii="Times New Roman" w:hAnsi="Times New Roman" w:cs="Times New Roman"/>
          <w:sz w:val="24"/>
          <w:szCs w:val="24"/>
        </w:rPr>
        <w:t>imposed a permanent injunction, requiring the Board to make the minutes of all future meetings available within forty-five days.</w:t>
      </w:r>
      <w:r w:rsidR="00B06AA2">
        <w:rPr>
          <w:rStyle w:val="FootnoteReference"/>
          <w:rFonts w:cs="Times New Roman"/>
          <w:sz w:val="24"/>
          <w:szCs w:val="24"/>
        </w:rPr>
        <w:footnoteReference w:id="9"/>
      </w:r>
      <w:r w:rsidR="00B06AA2">
        <w:rPr>
          <w:rFonts w:ascii="Times New Roman" w:hAnsi="Times New Roman" w:cs="Times New Roman"/>
          <w:sz w:val="24"/>
          <w:szCs w:val="24"/>
        </w:rPr>
        <w:t xml:space="preserve"> </w:t>
      </w:r>
      <w:r w:rsidR="00FA73B5">
        <w:rPr>
          <w:rFonts w:ascii="Times New Roman" w:hAnsi="Times New Roman" w:cs="Times New Roman"/>
          <w:sz w:val="24"/>
          <w:szCs w:val="24"/>
        </w:rPr>
        <w:t xml:space="preserve">The statute in question is </w:t>
      </w:r>
      <w:r w:rsidR="00CA29B6" w:rsidRPr="00CA29B6">
        <w:rPr>
          <w:rFonts w:ascii="Times New Roman" w:hAnsi="Times New Roman" w:cs="Times New Roman"/>
          <w:sz w:val="24"/>
          <w:szCs w:val="24"/>
        </w:rPr>
        <w:t xml:space="preserve">N.J.S.A. </w:t>
      </w:r>
      <w:r w:rsidR="004F1A13" w:rsidRPr="004F1A13">
        <w:rPr>
          <w:rFonts w:ascii="Times New Roman" w:hAnsi="Times New Roman" w:cs="Times New Roman"/>
          <w:sz w:val="24"/>
          <w:szCs w:val="24"/>
        </w:rPr>
        <w:t>10:4-14</w:t>
      </w:r>
      <w:r w:rsidR="004F1A13">
        <w:rPr>
          <w:rFonts w:ascii="Times New Roman" w:hAnsi="Times New Roman" w:cs="Times New Roman"/>
          <w:sz w:val="24"/>
          <w:szCs w:val="24"/>
        </w:rPr>
        <w:t>,</w:t>
      </w:r>
      <w:r w:rsidR="004F1A13" w:rsidRPr="004F1A13">
        <w:rPr>
          <w:rFonts w:ascii="Times New Roman" w:hAnsi="Times New Roman" w:cs="Times New Roman"/>
          <w:sz w:val="24"/>
          <w:szCs w:val="24"/>
        </w:rPr>
        <w:t xml:space="preserve"> </w:t>
      </w:r>
      <w:r w:rsidR="00FA73B5">
        <w:rPr>
          <w:rFonts w:ascii="Times New Roman" w:hAnsi="Times New Roman" w:cs="Times New Roman"/>
          <w:sz w:val="24"/>
          <w:szCs w:val="24"/>
        </w:rPr>
        <w:t xml:space="preserve">which states in </w:t>
      </w:r>
      <w:r w:rsidR="005F1A75">
        <w:rPr>
          <w:rFonts w:ascii="Times New Roman" w:hAnsi="Times New Roman" w:cs="Times New Roman"/>
          <w:sz w:val="24"/>
          <w:szCs w:val="24"/>
        </w:rPr>
        <w:t xml:space="preserve">pertinent </w:t>
      </w:r>
      <w:r w:rsidR="00FA73B5">
        <w:rPr>
          <w:rFonts w:ascii="Times New Roman" w:hAnsi="Times New Roman" w:cs="Times New Roman"/>
          <w:sz w:val="24"/>
          <w:szCs w:val="24"/>
        </w:rPr>
        <w:t>part:</w:t>
      </w:r>
    </w:p>
    <w:p w:rsidR="004F1A13" w:rsidRDefault="004F1A13" w:rsidP="00FD24EC">
      <w:pPr>
        <w:spacing w:line="276" w:lineRule="auto"/>
        <w:ind w:firstLine="720"/>
        <w:jc w:val="both"/>
        <w:rPr>
          <w:rFonts w:ascii="Times New Roman" w:hAnsi="Times New Roman" w:cs="Times New Roman"/>
          <w:sz w:val="24"/>
          <w:szCs w:val="24"/>
        </w:rPr>
      </w:pPr>
    </w:p>
    <w:p w:rsidR="005F1A75" w:rsidRDefault="00060089" w:rsidP="00852549">
      <w:pPr>
        <w:spacing w:line="276" w:lineRule="auto"/>
        <w:ind w:left="720" w:right="720"/>
        <w:jc w:val="both"/>
        <w:rPr>
          <w:rFonts w:ascii="Times New Roman" w:hAnsi="Times New Roman" w:cs="Times New Roman"/>
          <w:color w:val="212121"/>
          <w:sz w:val="24"/>
          <w:szCs w:val="24"/>
        </w:rPr>
      </w:pPr>
      <w:r>
        <w:rPr>
          <w:rFonts w:ascii="Times New Roman" w:hAnsi="Times New Roman" w:cs="Times New Roman"/>
          <w:color w:val="212121"/>
          <w:sz w:val="24"/>
          <w:szCs w:val="24"/>
        </w:rPr>
        <w:t>“</w:t>
      </w:r>
      <w:r w:rsidR="004F1A13" w:rsidRPr="004F1A13">
        <w:rPr>
          <w:rFonts w:ascii="Times New Roman" w:hAnsi="Times New Roman" w:cs="Times New Roman"/>
          <w:color w:val="212121"/>
          <w:sz w:val="24"/>
          <w:szCs w:val="24"/>
        </w:rPr>
        <w:t>Each public body shall keep reasonably comprehensible minutes of all its meetings showing the time and place, the members present, the subjects considered, the actions taken, the vote of each member, and any other information required to be shown in the minutes by law, which shall be promptly available to the public to the extent that making such matters public shall not be inconsistent with section 7 of this act</w:t>
      </w:r>
      <w:r w:rsidR="004F1A13">
        <w:rPr>
          <w:rFonts w:ascii="Times New Roman" w:hAnsi="Times New Roman" w:cs="Times New Roman"/>
          <w:color w:val="212121"/>
          <w:sz w:val="24"/>
          <w:szCs w:val="24"/>
        </w:rPr>
        <w:t>.</w:t>
      </w:r>
      <w:r>
        <w:rPr>
          <w:rFonts w:ascii="Times New Roman" w:hAnsi="Times New Roman" w:cs="Times New Roman"/>
          <w:color w:val="212121"/>
          <w:sz w:val="24"/>
          <w:szCs w:val="24"/>
        </w:rPr>
        <w:t>”</w:t>
      </w:r>
      <w:r w:rsidR="004F1A13">
        <w:rPr>
          <w:rStyle w:val="FootnoteReference"/>
          <w:rFonts w:cs="Times New Roman"/>
          <w:color w:val="212121"/>
          <w:sz w:val="24"/>
          <w:szCs w:val="24"/>
        </w:rPr>
        <w:footnoteReference w:id="10"/>
      </w:r>
    </w:p>
    <w:p w:rsidR="00E01E40" w:rsidRPr="004F1A13" w:rsidRDefault="00E01E40" w:rsidP="004F1A13">
      <w:pPr>
        <w:spacing w:line="276" w:lineRule="auto"/>
        <w:ind w:left="1440"/>
        <w:jc w:val="both"/>
        <w:rPr>
          <w:rFonts w:ascii="Times New Roman" w:hAnsi="Times New Roman" w:cs="Times New Roman"/>
          <w:sz w:val="24"/>
          <w:szCs w:val="24"/>
        </w:rPr>
      </w:pPr>
    </w:p>
    <w:p w:rsidR="00E01E40" w:rsidRDefault="00E01E40" w:rsidP="00E01E4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appeal, </w:t>
      </w:r>
      <w:r w:rsidR="00852549">
        <w:rPr>
          <w:rFonts w:ascii="Times New Roman" w:hAnsi="Times New Roman" w:cs="Times New Roman"/>
          <w:sz w:val="24"/>
          <w:szCs w:val="24"/>
        </w:rPr>
        <w:t xml:space="preserve">however, </w:t>
      </w:r>
      <w:r>
        <w:rPr>
          <w:rFonts w:ascii="Times New Roman" w:hAnsi="Times New Roman" w:cs="Times New Roman"/>
          <w:sz w:val="24"/>
          <w:szCs w:val="24"/>
        </w:rPr>
        <w:t xml:space="preserve">the </w:t>
      </w:r>
      <w:r w:rsidR="00852549">
        <w:rPr>
          <w:rFonts w:ascii="Times New Roman" w:hAnsi="Times New Roman" w:cs="Times New Roman"/>
          <w:sz w:val="24"/>
          <w:szCs w:val="24"/>
        </w:rPr>
        <w:t>A</w:t>
      </w:r>
      <w:r>
        <w:rPr>
          <w:rFonts w:ascii="Times New Roman" w:hAnsi="Times New Roman" w:cs="Times New Roman"/>
          <w:sz w:val="24"/>
          <w:szCs w:val="24"/>
        </w:rPr>
        <w:t xml:space="preserve">ppellate </w:t>
      </w:r>
      <w:r w:rsidR="00852549">
        <w:rPr>
          <w:rFonts w:ascii="Times New Roman" w:hAnsi="Times New Roman" w:cs="Times New Roman"/>
          <w:sz w:val="24"/>
          <w:szCs w:val="24"/>
        </w:rPr>
        <w:t>Division</w:t>
      </w:r>
      <w:r>
        <w:rPr>
          <w:rFonts w:ascii="Times New Roman" w:hAnsi="Times New Roman" w:cs="Times New Roman"/>
          <w:sz w:val="24"/>
          <w:szCs w:val="24"/>
        </w:rPr>
        <w:t xml:space="preserve"> reversed and vacated the permanent injunction imposed </w:t>
      </w:r>
      <w:r w:rsidR="00852549">
        <w:rPr>
          <w:rFonts w:ascii="Times New Roman" w:hAnsi="Times New Roman" w:cs="Times New Roman"/>
          <w:sz w:val="24"/>
          <w:szCs w:val="24"/>
        </w:rPr>
        <w:t>below</w:t>
      </w:r>
      <w:r>
        <w:rPr>
          <w:rFonts w:ascii="Times New Roman" w:hAnsi="Times New Roman" w:cs="Times New Roman"/>
          <w:sz w:val="24"/>
          <w:szCs w:val="24"/>
        </w:rPr>
        <w:t>, stating that “although OPMA expressly authorizes the Superior Court to issue injunctive relief as a means of enforcing its provisions...the forty-five day deadline…is inconsistent with the implicit, fact-sensitive approach the Legislature endorsed by using the words ‘promptly available.’”</w:t>
      </w:r>
      <w:r>
        <w:rPr>
          <w:rStyle w:val="FootnoteReference"/>
          <w:rFonts w:cs="Times New Roman"/>
          <w:sz w:val="24"/>
          <w:szCs w:val="24"/>
        </w:rPr>
        <w:footnoteReference w:id="11"/>
      </w:r>
      <w:r>
        <w:rPr>
          <w:rFonts w:ascii="Times New Roman" w:hAnsi="Times New Roman" w:cs="Times New Roman"/>
          <w:sz w:val="24"/>
          <w:szCs w:val="24"/>
        </w:rPr>
        <w:t xml:space="preserve"> The </w:t>
      </w:r>
      <w:r w:rsidR="00342C71">
        <w:rPr>
          <w:rFonts w:ascii="Times New Roman" w:hAnsi="Times New Roman" w:cs="Times New Roman"/>
          <w:sz w:val="24"/>
          <w:szCs w:val="24"/>
        </w:rPr>
        <w:t>A</w:t>
      </w:r>
      <w:r>
        <w:rPr>
          <w:rFonts w:ascii="Times New Roman" w:hAnsi="Times New Roman" w:cs="Times New Roman"/>
          <w:sz w:val="24"/>
          <w:szCs w:val="24"/>
        </w:rPr>
        <w:t xml:space="preserve">ppellate </w:t>
      </w:r>
      <w:r w:rsidR="00342C71">
        <w:rPr>
          <w:rFonts w:ascii="Times New Roman" w:hAnsi="Times New Roman" w:cs="Times New Roman"/>
          <w:sz w:val="24"/>
          <w:szCs w:val="24"/>
        </w:rPr>
        <w:t>Division</w:t>
      </w:r>
      <w:r>
        <w:rPr>
          <w:rFonts w:ascii="Times New Roman" w:hAnsi="Times New Roman" w:cs="Times New Roman"/>
          <w:sz w:val="24"/>
          <w:szCs w:val="24"/>
        </w:rPr>
        <w:t xml:space="preserve"> went on to say that the effect of a judicially imposed deadline is one that not only strips the Board of one of its managerial prerogatives, but is one that would also invite “continuous judicial involvement in the form of enforcement by motion practice.”</w:t>
      </w:r>
      <w:r>
        <w:rPr>
          <w:rStyle w:val="FootnoteReference"/>
          <w:rFonts w:cs="Times New Roman"/>
          <w:sz w:val="24"/>
          <w:szCs w:val="24"/>
        </w:rPr>
        <w:footnoteReference w:id="12"/>
      </w:r>
      <w:r>
        <w:rPr>
          <w:rFonts w:ascii="Times New Roman" w:hAnsi="Times New Roman" w:cs="Times New Roman"/>
          <w:sz w:val="24"/>
          <w:szCs w:val="24"/>
        </w:rPr>
        <w:t xml:space="preserve"> The </w:t>
      </w:r>
      <w:r w:rsidR="005F4BBD">
        <w:rPr>
          <w:rFonts w:ascii="Times New Roman" w:hAnsi="Times New Roman" w:cs="Times New Roman"/>
          <w:sz w:val="24"/>
          <w:szCs w:val="24"/>
        </w:rPr>
        <w:t>Appellate Division</w:t>
      </w:r>
      <w:r>
        <w:rPr>
          <w:rFonts w:ascii="Times New Roman" w:hAnsi="Times New Roman" w:cs="Times New Roman"/>
          <w:sz w:val="24"/>
          <w:szCs w:val="24"/>
        </w:rPr>
        <w:t xml:space="preserve"> further noted that the Legislature entrusted Boards to handle the “government, control, conduct, management, and administration” of our State’s public colleges and Universities, and in light of that, Judges are not suited to micromanage its internal affairs.</w:t>
      </w:r>
      <w:r>
        <w:rPr>
          <w:rStyle w:val="FootnoteReference"/>
          <w:rFonts w:cs="Times New Roman"/>
          <w:sz w:val="24"/>
          <w:szCs w:val="24"/>
        </w:rPr>
        <w:footnoteReference w:id="13"/>
      </w:r>
      <w:r>
        <w:rPr>
          <w:rFonts w:ascii="Times New Roman" w:hAnsi="Times New Roman" w:cs="Times New Roman"/>
          <w:sz w:val="24"/>
          <w:szCs w:val="24"/>
        </w:rPr>
        <w:t xml:space="preserve"> The Court </w:t>
      </w:r>
      <w:r w:rsidR="005F4BBD">
        <w:rPr>
          <w:rFonts w:ascii="Times New Roman" w:hAnsi="Times New Roman" w:cs="Times New Roman"/>
          <w:sz w:val="24"/>
          <w:szCs w:val="24"/>
        </w:rPr>
        <w:t xml:space="preserve">did, however, </w:t>
      </w:r>
      <w:r>
        <w:rPr>
          <w:rFonts w:ascii="Times New Roman" w:hAnsi="Times New Roman" w:cs="Times New Roman"/>
          <w:sz w:val="24"/>
          <w:szCs w:val="24"/>
        </w:rPr>
        <w:t>order the Board to reconsider its meeting schedule, stating that it was now on notice that “five meetings per year will not allow it to make its meeting minutes ‘promptly available’ to the public.”</w:t>
      </w:r>
      <w:r>
        <w:rPr>
          <w:rStyle w:val="FootnoteReference"/>
          <w:rFonts w:cs="Times New Roman"/>
          <w:sz w:val="24"/>
          <w:szCs w:val="24"/>
        </w:rPr>
        <w:footnoteReference w:id="14"/>
      </w:r>
    </w:p>
    <w:p w:rsidR="005F4BBD" w:rsidRDefault="005F4BBD" w:rsidP="00E01E40">
      <w:pPr>
        <w:spacing w:line="276" w:lineRule="auto"/>
        <w:ind w:firstLine="720"/>
        <w:jc w:val="both"/>
        <w:rPr>
          <w:rFonts w:ascii="Times New Roman" w:hAnsi="Times New Roman" w:cs="Times New Roman"/>
          <w:sz w:val="24"/>
          <w:szCs w:val="24"/>
        </w:rPr>
      </w:pPr>
    </w:p>
    <w:p w:rsidR="00E01E40" w:rsidRDefault="00E01E40" w:rsidP="00E01E4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 effort to interpret the statute’s intent, the Court noted that in the absence of any published decisions addressing this issue from either the Supreme Court or </w:t>
      </w:r>
      <w:r w:rsidR="007C1496">
        <w:rPr>
          <w:rFonts w:ascii="Times New Roman" w:hAnsi="Times New Roman" w:cs="Times New Roman"/>
          <w:sz w:val="24"/>
          <w:szCs w:val="24"/>
        </w:rPr>
        <w:t>the Appellate Division</w:t>
      </w:r>
      <w:r>
        <w:rPr>
          <w:rFonts w:ascii="Times New Roman" w:hAnsi="Times New Roman" w:cs="Times New Roman"/>
          <w:sz w:val="24"/>
          <w:szCs w:val="24"/>
        </w:rPr>
        <w:t>, it would “apply the well-settled principles of statutory construction our Supreme Court has reaffirmed numerous times.”</w:t>
      </w:r>
      <w:r>
        <w:rPr>
          <w:rStyle w:val="FootnoteReference"/>
          <w:rFonts w:cs="Times New Roman"/>
          <w:sz w:val="24"/>
          <w:szCs w:val="24"/>
        </w:rPr>
        <w:footnoteReference w:id="15"/>
      </w:r>
      <w:r>
        <w:rPr>
          <w:rFonts w:ascii="Times New Roman" w:hAnsi="Times New Roman" w:cs="Times New Roman"/>
          <w:sz w:val="24"/>
          <w:szCs w:val="24"/>
        </w:rPr>
        <w:t xml:space="preserve"> The </w:t>
      </w:r>
      <w:r w:rsidR="007C1496">
        <w:rPr>
          <w:rFonts w:ascii="Times New Roman" w:hAnsi="Times New Roman" w:cs="Times New Roman"/>
          <w:sz w:val="24"/>
          <w:szCs w:val="24"/>
        </w:rPr>
        <w:t>Appellate Division</w:t>
      </w:r>
      <w:r>
        <w:rPr>
          <w:rFonts w:ascii="Times New Roman" w:hAnsi="Times New Roman" w:cs="Times New Roman"/>
          <w:sz w:val="24"/>
          <w:szCs w:val="24"/>
        </w:rPr>
        <w:t xml:space="preserve"> opted to interpret the statute by looking to the </w:t>
      </w:r>
      <w:r w:rsidR="007C1496">
        <w:rPr>
          <w:rFonts w:ascii="Times New Roman" w:hAnsi="Times New Roman" w:cs="Times New Roman"/>
          <w:sz w:val="24"/>
          <w:szCs w:val="24"/>
        </w:rPr>
        <w:t xml:space="preserve">legislative </w:t>
      </w:r>
      <w:r>
        <w:rPr>
          <w:rFonts w:ascii="Times New Roman" w:hAnsi="Times New Roman" w:cs="Times New Roman"/>
          <w:sz w:val="24"/>
          <w:szCs w:val="24"/>
        </w:rPr>
        <w:t xml:space="preserve">intent, which involved looking at the plain language </w:t>
      </w:r>
      <w:r w:rsidR="007C1496">
        <w:rPr>
          <w:rFonts w:ascii="Times New Roman" w:hAnsi="Times New Roman" w:cs="Times New Roman"/>
          <w:sz w:val="24"/>
          <w:szCs w:val="24"/>
        </w:rPr>
        <w:t>used by</w:t>
      </w:r>
      <w:r>
        <w:rPr>
          <w:rFonts w:ascii="Times New Roman" w:hAnsi="Times New Roman" w:cs="Times New Roman"/>
          <w:sz w:val="24"/>
          <w:szCs w:val="24"/>
        </w:rPr>
        <w:t xml:space="preserve"> the Legislature. In defining “promptly available,” the Court stated that it “requires public bodies to approve and make their meeting minutes available to the public in a manner that fulfills the Legislature’s commitment to transparency in public </w:t>
      </w:r>
      <w:r>
        <w:rPr>
          <w:rFonts w:ascii="Times New Roman" w:hAnsi="Times New Roman" w:cs="Times New Roman"/>
          <w:sz w:val="24"/>
          <w:szCs w:val="24"/>
        </w:rPr>
        <w:lastRenderedPageBreak/>
        <w:t>affairs.”</w:t>
      </w:r>
      <w:r>
        <w:rPr>
          <w:rStyle w:val="FootnoteReference"/>
          <w:rFonts w:cs="Times New Roman"/>
          <w:sz w:val="24"/>
          <w:szCs w:val="24"/>
        </w:rPr>
        <w:footnoteReference w:id="16"/>
      </w:r>
      <w:r>
        <w:rPr>
          <w:rFonts w:ascii="Times New Roman" w:hAnsi="Times New Roman" w:cs="Times New Roman"/>
          <w:sz w:val="24"/>
          <w:szCs w:val="24"/>
        </w:rPr>
        <w:t xml:space="preserve"> Further, the </w:t>
      </w:r>
      <w:r w:rsidR="007C1496">
        <w:rPr>
          <w:rFonts w:ascii="Times New Roman" w:hAnsi="Times New Roman" w:cs="Times New Roman"/>
          <w:sz w:val="24"/>
          <w:szCs w:val="24"/>
        </w:rPr>
        <w:t xml:space="preserve">Appellate Division </w:t>
      </w:r>
      <w:r>
        <w:rPr>
          <w:rFonts w:ascii="Times New Roman" w:hAnsi="Times New Roman" w:cs="Times New Roman"/>
          <w:sz w:val="24"/>
          <w:szCs w:val="24"/>
        </w:rPr>
        <w:t>noted that making the minutes available should be a priority and not treated as a “ministerial function or technical annoyance.”</w:t>
      </w:r>
      <w:r>
        <w:rPr>
          <w:rStyle w:val="FootnoteReference"/>
          <w:rFonts w:cs="Times New Roman"/>
          <w:sz w:val="24"/>
          <w:szCs w:val="24"/>
        </w:rPr>
        <w:footnoteReference w:id="17"/>
      </w:r>
      <w:r>
        <w:rPr>
          <w:rFonts w:ascii="Times New Roman" w:hAnsi="Times New Roman" w:cs="Times New Roman"/>
          <w:sz w:val="24"/>
          <w:szCs w:val="24"/>
        </w:rPr>
        <w:t xml:space="preserve"> Finally, the Court emphasized “in light of no specific statutory requirement, the custom and practice of a particular public body must be afforded some consideration, as long as they are reasonable.”</w:t>
      </w:r>
      <w:r>
        <w:rPr>
          <w:rStyle w:val="FootnoteReference"/>
          <w:rFonts w:cs="Times New Roman"/>
          <w:sz w:val="24"/>
          <w:szCs w:val="24"/>
        </w:rPr>
        <w:footnoteReference w:id="18"/>
      </w:r>
      <w:r w:rsidR="007C1496">
        <w:rPr>
          <w:rFonts w:ascii="Times New Roman" w:hAnsi="Times New Roman" w:cs="Times New Roman"/>
          <w:sz w:val="24"/>
          <w:szCs w:val="24"/>
        </w:rPr>
        <w:t xml:space="preserve"> </w:t>
      </w:r>
    </w:p>
    <w:p w:rsidR="007C1496" w:rsidRDefault="007C1496" w:rsidP="00E01E40">
      <w:pPr>
        <w:spacing w:line="276" w:lineRule="auto"/>
        <w:ind w:firstLine="720"/>
        <w:jc w:val="both"/>
        <w:rPr>
          <w:rFonts w:ascii="Times New Roman" w:hAnsi="Times New Roman" w:cs="Times New Roman"/>
          <w:sz w:val="24"/>
          <w:szCs w:val="24"/>
        </w:rPr>
      </w:pPr>
    </w:p>
    <w:p w:rsidR="00E01E40" w:rsidRDefault="00E01E40" w:rsidP="00E01E4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w:t>
      </w:r>
      <w:r w:rsidR="007C1496">
        <w:rPr>
          <w:rFonts w:ascii="Times New Roman" w:hAnsi="Times New Roman" w:cs="Times New Roman"/>
          <w:sz w:val="24"/>
          <w:szCs w:val="24"/>
        </w:rPr>
        <w:t>the suggestion</w:t>
      </w:r>
      <w:r>
        <w:rPr>
          <w:rFonts w:ascii="Times New Roman" w:hAnsi="Times New Roman" w:cs="Times New Roman"/>
          <w:sz w:val="24"/>
          <w:szCs w:val="24"/>
        </w:rPr>
        <w:t xml:space="preserve"> that making minutes available to the public ninety days or more after a meeting does not meet the statutory requirement</w:t>
      </w:r>
      <w:r w:rsidR="007C1496">
        <w:rPr>
          <w:rFonts w:ascii="Times New Roman" w:hAnsi="Times New Roman" w:cs="Times New Roman"/>
          <w:sz w:val="24"/>
          <w:szCs w:val="24"/>
        </w:rPr>
        <w:t xml:space="preserve"> might meet with general acceptance, the statute itself provides no specific guidance, and the issue had not previously been addressed by case law in this State</w:t>
      </w:r>
      <w:r>
        <w:rPr>
          <w:rFonts w:ascii="Times New Roman" w:hAnsi="Times New Roman" w:cs="Times New Roman"/>
          <w:sz w:val="24"/>
          <w:szCs w:val="24"/>
        </w:rPr>
        <w:t xml:space="preserve">. </w:t>
      </w:r>
    </w:p>
    <w:p w:rsidR="00E01E40" w:rsidRDefault="00E01E40" w:rsidP="00E01E40">
      <w:pPr>
        <w:spacing w:line="276" w:lineRule="auto"/>
        <w:jc w:val="both"/>
        <w:rPr>
          <w:rFonts w:ascii="Times New Roman" w:hAnsi="Times New Roman" w:cs="Times New Roman"/>
          <w:sz w:val="24"/>
          <w:szCs w:val="24"/>
        </w:rPr>
      </w:pPr>
    </w:p>
    <w:p w:rsidR="00E01E40" w:rsidRPr="00E01E40" w:rsidRDefault="00E01E40" w:rsidP="00E01E40">
      <w:pPr>
        <w:spacing w:line="276"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Issue Two </w:t>
      </w:r>
      <w:r w:rsidR="00A11438">
        <w:rPr>
          <w:rFonts w:ascii="Times New Roman" w:hAnsi="Times New Roman" w:cs="Times New Roman"/>
          <w:b/>
          <w:sz w:val="24"/>
          <w:szCs w:val="24"/>
        </w:rPr>
        <w:t>-</w:t>
      </w:r>
      <w:r>
        <w:rPr>
          <w:rFonts w:ascii="Times New Roman" w:hAnsi="Times New Roman" w:cs="Times New Roman"/>
          <w:b/>
          <w:sz w:val="24"/>
          <w:szCs w:val="24"/>
        </w:rPr>
        <w:t xml:space="preserve"> Rice Notice Requirement</w:t>
      </w:r>
    </w:p>
    <w:p w:rsidR="00E01E40" w:rsidRPr="00CA29B6" w:rsidRDefault="00E01E40" w:rsidP="00E01E40">
      <w:pPr>
        <w:rPr>
          <w:rFonts w:ascii="Times New Roman" w:hAnsi="Times New Roman" w:cs="Times New Roman"/>
          <w:color w:val="212121"/>
          <w:sz w:val="24"/>
          <w:szCs w:val="24"/>
          <w:shd w:val="clear" w:color="auto" w:fill="FFFFFF"/>
        </w:rPr>
      </w:pPr>
    </w:p>
    <w:p w:rsidR="004573BA" w:rsidRDefault="00441950" w:rsidP="00FD24EC">
      <w:pPr>
        <w:spacing w:line="276" w:lineRule="auto"/>
        <w:ind w:firstLine="720"/>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With regard to the </w:t>
      </w:r>
      <w:r>
        <w:rPr>
          <w:rFonts w:ascii="Times New Roman" w:eastAsia="Times New Roman" w:hAnsi="Times New Roman" w:cs="Times New Roman"/>
          <w:i/>
          <w:color w:val="212121"/>
          <w:sz w:val="24"/>
          <w:szCs w:val="24"/>
          <w:shd w:val="clear" w:color="auto" w:fill="FFFFFF"/>
        </w:rPr>
        <w:t xml:space="preserve">Rice </w:t>
      </w:r>
      <w:r>
        <w:rPr>
          <w:rFonts w:ascii="Times New Roman" w:eastAsia="Times New Roman" w:hAnsi="Times New Roman" w:cs="Times New Roman"/>
          <w:color w:val="212121"/>
          <w:sz w:val="24"/>
          <w:szCs w:val="24"/>
          <w:shd w:val="clear" w:color="auto" w:fill="FFFFFF"/>
        </w:rPr>
        <w:t xml:space="preserve">notice, the </w:t>
      </w:r>
      <w:r w:rsidR="00813664">
        <w:rPr>
          <w:rFonts w:ascii="Times New Roman" w:eastAsia="Times New Roman" w:hAnsi="Times New Roman" w:cs="Times New Roman"/>
          <w:color w:val="212121"/>
          <w:sz w:val="24"/>
          <w:szCs w:val="24"/>
          <w:shd w:val="clear" w:color="auto" w:fill="FFFFFF"/>
        </w:rPr>
        <w:t>T</w:t>
      </w:r>
      <w:r>
        <w:rPr>
          <w:rFonts w:ascii="Times New Roman" w:eastAsia="Times New Roman" w:hAnsi="Times New Roman" w:cs="Times New Roman"/>
          <w:color w:val="212121"/>
          <w:sz w:val="24"/>
          <w:szCs w:val="24"/>
          <w:shd w:val="clear" w:color="auto" w:fill="FFFFFF"/>
        </w:rPr>
        <w:t xml:space="preserve">rial </w:t>
      </w:r>
      <w:r w:rsidR="00FF150E">
        <w:rPr>
          <w:rFonts w:ascii="Times New Roman" w:eastAsia="Times New Roman" w:hAnsi="Times New Roman" w:cs="Times New Roman"/>
          <w:color w:val="212121"/>
          <w:sz w:val="24"/>
          <w:szCs w:val="24"/>
          <w:shd w:val="clear" w:color="auto" w:fill="FFFFFF"/>
        </w:rPr>
        <w:t>Court</w:t>
      </w:r>
      <w:r>
        <w:rPr>
          <w:rFonts w:ascii="Times New Roman" w:eastAsia="Times New Roman" w:hAnsi="Times New Roman" w:cs="Times New Roman"/>
          <w:color w:val="212121"/>
          <w:sz w:val="24"/>
          <w:szCs w:val="24"/>
          <w:shd w:val="clear" w:color="auto" w:fill="FFFFFF"/>
        </w:rPr>
        <w:t xml:space="preserve"> concluded that “absent any discussion of </w:t>
      </w:r>
      <w:proofErr w:type="spellStart"/>
      <w:r>
        <w:rPr>
          <w:rFonts w:ascii="Times New Roman" w:eastAsia="Times New Roman" w:hAnsi="Times New Roman" w:cs="Times New Roman"/>
          <w:color w:val="212121"/>
          <w:sz w:val="24"/>
          <w:szCs w:val="24"/>
          <w:shd w:val="clear" w:color="auto" w:fill="FFFFFF"/>
        </w:rPr>
        <w:t>Hascup’s</w:t>
      </w:r>
      <w:proofErr w:type="spellEnd"/>
      <w:r>
        <w:rPr>
          <w:rFonts w:ascii="Times New Roman" w:eastAsia="Times New Roman" w:hAnsi="Times New Roman" w:cs="Times New Roman"/>
          <w:color w:val="212121"/>
          <w:sz w:val="24"/>
          <w:szCs w:val="24"/>
          <w:shd w:val="clear" w:color="auto" w:fill="FFFFFF"/>
        </w:rPr>
        <w:t xml:space="preserve"> employment status during closed session, or any stated intention to engage in such discussion, the OPMA does not require a </w:t>
      </w:r>
      <w:r>
        <w:rPr>
          <w:rFonts w:ascii="Times New Roman" w:eastAsia="Times New Roman" w:hAnsi="Times New Roman" w:cs="Times New Roman"/>
          <w:i/>
          <w:color w:val="212121"/>
          <w:sz w:val="24"/>
          <w:szCs w:val="24"/>
          <w:shd w:val="clear" w:color="auto" w:fill="FFFFFF"/>
        </w:rPr>
        <w:t xml:space="preserve">Rice </w:t>
      </w:r>
      <w:r>
        <w:rPr>
          <w:rFonts w:ascii="Times New Roman" w:eastAsia="Times New Roman" w:hAnsi="Times New Roman" w:cs="Times New Roman"/>
          <w:color w:val="212121"/>
          <w:sz w:val="24"/>
          <w:szCs w:val="24"/>
          <w:shd w:val="clear" w:color="auto" w:fill="FFFFFF"/>
        </w:rPr>
        <w:t>notice.</w:t>
      </w:r>
      <w:r>
        <w:rPr>
          <w:rStyle w:val="FootnoteReference"/>
          <w:rFonts w:eastAsia="Times New Roman" w:cs="Times New Roman"/>
          <w:color w:val="212121"/>
          <w:sz w:val="24"/>
          <w:szCs w:val="24"/>
          <w:shd w:val="clear" w:color="auto" w:fill="FFFFFF"/>
        </w:rPr>
        <w:footnoteReference w:id="19"/>
      </w:r>
      <w:r w:rsidR="004F1A13">
        <w:rPr>
          <w:rFonts w:ascii="Times New Roman" w:eastAsia="Times New Roman" w:hAnsi="Times New Roman" w:cs="Times New Roman"/>
          <w:color w:val="212121"/>
          <w:sz w:val="24"/>
          <w:szCs w:val="24"/>
          <w:shd w:val="clear" w:color="auto" w:fill="FFFFFF"/>
        </w:rPr>
        <w:t xml:space="preserve"> </w:t>
      </w:r>
      <w:r>
        <w:rPr>
          <w:rFonts w:ascii="Times New Roman" w:hAnsi="Times New Roman" w:cs="Times New Roman"/>
          <w:sz w:val="24"/>
          <w:szCs w:val="24"/>
        </w:rPr>
        <w:t xml:space="preserve">The statute in question is the </w:t>
      </w:r>
      <w:r w:rsidRPr="00CA29B6">
        <w:rPr>
          <w:rFonts w:ascii="Times New Roman" w:hAnsi="Times New Roman" w:cs="Times New Roman"/>
          <w:sz w:val="24"/>
          <w:szCs w:val="24"/>
        </w:rPr>
        <w:t>Open Public Meetings Act</w:t>
      </w:r>
      <w:r w:rsidR="00083890">
        <w:rPr>
          <w:rFonts w:ascii="Times New Roman" w:hAnsi="Times New Roman" w:cs="Times New Roman"/>
          <w:sz w:val="24"/>
          <w:szCs w:val="24"/>
        </w:rPr>
        <w:t>,</w:t>
      </w:r>
      <w:r w:rsidRPr="00CA29B6">
        <w:rPr>
          <w:rFonts w:ascii="Times New Roman" w:hAnsi="Times New Roman" w:cs="Times New Roman"/>
          <w:sz w:val="24"/>
          <w:szCs w:val="24"/>
        </w:rPr>
        <w:t xml:space="preserve"> N.J.S.A. 10:4-12(b) (8)</w:t>
      </w:r>
      <w:r>
        <w:rPr>
          <w:rFonts w:ascii="Times New Roman" w:hAnsi="Times New Roman" w:cs="Times New Roman"/>
          <w:sz w:val="24"/>
          <w:szCs w:val="24"/>
        </w:rPr>
        <w:t>,</w:t>
      </w:r>
      <w:r w:rsidRPr="00213310">
        <w:rPr>
          <w:rFonts w:ascii="Times New Roman" w:hAnsi="Times New Roman" w:cs="Times New Roman"/>
          <w:sz w:val="24"/>
          <w:szCs w:val="24"/>
        </w:rPr>
        <w:t xml:space="preserve"> </w:t>
      </w:r>
      <w:r>
        <w:rPr>
          <w:rFonts w:ascii="Times New Roman" w:hAnsi="Times New Roman" w:cs="Times New Roman"/>
          <w:sz w:val="24"/>
          <w:szCs w:val="24"/>
        </w:rPr>
        <w:t>which states in pertinent part:</w:t>
      </w:r>
      <w:r>
        <w:rPr>
          <w:rFonts w:ascii="Times New Roman" w:eastAsia="Times New Roman" w:hAnsi="Times New Roman" w:cs="Times New Roman"/>
          <w:color w:val="212121"/>
          <w:sz w:val="24"/>
          <w:szCs w:val="24"/>
          <w:shd w:val="clear" w:color="auto" w:fill="FFFFFF"/>
        </w:rPr>
        <w:t xml:space="preserve"> </w:t>
      </w:r>
    </w:p>
    <w:p w:rsidR="00BE4A6B" w:rsidRDefault="00BE4A6B" w:rsidP="00FD24EC">
      <w:pPr>
        <w:spacing w:line="276" w:lineRule="auto"/>
        <w:ind w:firstLine="720"/>
        <w:jc w:val="both"/>
        <w:rPr>
          <w:rFonts w:ascii="Times New Roman" w:eastAsia="Times New Roman" w:hAnsi="Times New Roman" w:cs="Times New Roman"/>
          <w:color w:val="212121"/>
          <w:sz w:val="24"/>
          <w:szCs w:val="24"/>
          <w:shd w:val="clear" w:color="auto" w:fill="FFFFFF"/>
        </w:rPr>
      </w:pPr>
    </w:p>
    <w:p w:rsidR="00441950" w:rsidRDefault="00441950" w:rsidP="00441950">
      <w:pPr>
        <w:spacing w:line="276" w:lineRule="auto"/>
        <w:ind w:left="720" w:right="720"/>
        <w:jc w:val="both"/>
        <w:rPr>
          <w:rFonts w:ascii="Times New Roman" w:hAnsi="Times New Roman" w:cs="Times New Roman"/>
          <w:color w:val="212121"/>
          <w:sz w:val="24"/>
          <w:szCs w:val="24"/>
        </w:rPr>
      </w:pPr>
      <w:r>
        <w:rPr>
          <w:rFonts w:ascii="Times New Roman" w:hAnsi="Times New Roman" w:cs="Times New Roman"/>
          <w:color w:val="212121"/>
          <w:sz w:val="24"/>
          <w:szCs w:val="24"/>
        </w:rPr>
        <w:t>b</w:t>
      </w:r>
      <w:r w:rsidRPr="00213310">
        <w:rPr>
          <w:rFonts w:ascii="Times New Roman" w:hAnsi="Times New Roman" w:cs="Times New Roman"/>
          <w:color w:val="212121"/>
          <w:sz w:val="24"/>
          <w:szCs w:val="24"/>
        </w:rPr>
        <w:t xml:space="preserve">. </w:t>
      </w:r>
      <w:r w:rsidRPr="00CA29B6">
        <w:rPr>
          <w:rFonts w:ascii="Times New Roman" w:hAnsi="Times New Roman" w:cs="Times New Roman"/>
          <w:color w:val="212121"/>
          <w:sz w:val="24"/>
          <w:szCs w:val="24"/>
        </w:rPr>
        <w:t>A public body may exclude the public only from that portion of a meeting at which the public body discusses any:</w:t>
      </w:r>
    </w:p>
    <w:p w:rsidR="005F4BBD" w:rsidRPr="00CA29B6" w:rsidRDefault="005F4BBD" w:rsidP="005F4BBD">
      <w:pPr>
        <w:spacing w:line="276" w:lineRule="auto"/>
        <w:ind w:left="720" w:right="720"/>
        <w:jc w:val="center"/>
        <w:rPr>
          <w:rFonts w:ascii="Times New Roman" w:hAnsi="Times New Roman" w:cs="Times New Roman"/>
          <w:color w:val="212121"/>
          <w:sz w:val="24"/>
          <w:szCs w:val="24"/>
        </w:rPr>
      </w:pPr>
      <w:r>
        <w:rPr>
          <w:rFonts w:ascii="Times New Roman" w:hAnsi="Times New Roman" w:cs="Times New Roman"/>
          <w:color w:val="212121"/>
          <w:sz w:val="24"/>
          <w:szCs w:val="24"/>
        </w:rPr>
        <w:t>* * *</w:t>
      </w:r>
    </w:p>
    <w:p w:rsidR="00441950" w:rsidRDefault="00441950" w:rsidP="00441950">
      <w:pPr>
        <w:ind w:left="720" w:firstLine="720"/>
        <w:rPr>
          <w:rFonts w:ascii="Times New Roman" w:hAnsi="Times New Roman" w:cs="Times New Roman"/>
          <w:color w:val="212121"/>
          <w:sz w:val="24"/>
          <w:szCs w:val="24"/>
          <w:shd w:val="clear" w:color="auto" w:fill="FFFFFF"/>
        </w:rPr>
      </w:pPr>
      <w:r w:rsidRPr="00CA29B6">
        <w:rPr>
          <w:rFonts w:ascii="Times New Roman" w:hAnsi="Times New Roman" w:cs="Times New Roman"/>
          <w:color w:val="212121"/>
          <w:sz w:val="24"/>
          <w:szCs w:val="24"/>
        </w:rPr>
        <w:t>(8) matter involving the employment, appointment, termination of employment, terms and conditions of employment, evaluation of the performance of, promotion</w:t>
      </w:r>
      <w:r w:rsidRPr="00CA29B6">
        <w:rPr>
          <w:rFonts w:ascii="Times New Roman" w:hAnsi="Times New Roman" w:cs="Times New Roman"/>
          <w:color w:val="212121"/>
          <w:sz w:val="24"/>
          <w:szCs w:val="24"/>
          <w:shd w:val="clear" w:color="auto" w:fill="FFFFFF"/>
        </w:rPr>
        <w:t>,</w:t>
      </w:r>
      <w:r w:rsidRPr="00CA29B6">
        <w:rPr>
          <w:rFonts w:ascii="Times New Roman" w:hAnsi="Times New Roman" w:cs="Times New Roman"/>
          <w:color w:val="212121"/>
          <w:sz w:val="24"/>
          <w:szCs w:val="24"/>
        </w:rPr>
        <w:t xml:space="preserve"> or disciplining of any specific prospective public officer or employee or current public officer or employee employed or appointed by the public body, unless all the individual employees or appointees whose rights could be adversely affected request in writing </w:t>
      </w:r>
      <w:r>
        <w:rPr>
          <w:rFonts w:ascii="Times New Roman" w:hAnsi="Times New Roman" w:cs="Times New Roman"/>
          <w:sz w:val="24"/>
          <w:szCs w:val="24"/>
        </w:rPr>
        <w:t xml:space="preserve">that the </w:t>
      </w:r>
      <w:r w:rsidRPr="00CA29B6">
        <w:rPr>
          <w:rFonts w:ascii="Times New Roman" w:hAnsi="Times New Roman" w:cs="Times New Roman"/>
          <w:color w:val="212121"/>
          <w:sz w:val="24"/>
          <w:szCs w:val="24"/>
        </w:rPr>
        <w:t>matter or matters be discussed at a public meeting</w:t>
      </w:r>
      <w:r w:rsidRPr="00CA29B6">
        <w:rPr>
          <w:rFonts w:ascii="Times New Roman" w:hAnsi="Times New Roman" w:cs="Times New Roman"/>
          <w:color w:val="212121"/>
          <w:sz w:val="24"/>
          <w:szCs w:val="24"/>
          <w:shd w:val="clear" w:color="auto" w:fill="FFFFFF"/>
        </w:rPr>
        <w:t>;</w:t>
      </w:r>
      <w:r>
        <w:rPr>
          <w:rStyle w:val="FootnoteReference"/>
          <w:rFonts w:cs="Times New Roman"/>
          <w:color w:val="212121"/>
          <w:sz w:val="24"/>
          <w:szCs w:val="24"/>
          <w:shd w:val="clear" w:color="auto" w:fill="FFFFFF"/>
        </w:rPr>
        <w:footnoteReference w:id="20"/>
      </w:r>
    </w:p>
    <w:p w:rsidR="00E32D2F" w:rsidRDefault="00E32D2F" w:rsidP="005F1A75">
      <w:pPr>
        <w:spacing w:line="276" w:lineRule="auto"/>
        <w:ind w:left="720"/>
        <w:jc w:val="both"/>
        <w:rPr>
          <w:rFonts w:ascii="Times New Roman" w:eastAsia="Times New Roman" w:hAnsi="Times New Roman" w:cs="Times New Roman"/>
          <w:color w:val="212121"/>
          <w:sz w:val="24"/>
          <w:szCs w:val="24"/>
          <w:shd w:val="clear" w:color="auto" w:fill="FFFFFF"/>
        </w:rPr>
      </w:pPr>
    </w:p>
    <w:p w:rsidR="0028353A" w:rsidRDefault="00E01E40" w:rsidP="0028353A">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FF150E">
        <w:rPr>
          <w:rFonts w:ascii="Times New Roman" w:hAnsi="Times New Roman" w:cs="Times New Roman"/>
          <w:sz w:val="24"/>
          <w:szCs w:val="24"/>
        </w:rPr>
        <w:t xml:space="preserve"> appeal, the </w:t>
      </w:r>
      <w:r w:rsidR="00813664">
        <w:rPr>
          <w:rFonts w:ascii="Times New Roman" w:hAnsi="Times New Roman" w:cs="Times New Roman"/>
          <w:sz w:val="24"/>
          <w:szCs w:val="24"/>
        </w:rPr>
        <w:t>A</w:t>
      </w:r>
      <w:r w:rsidR="00FF150E">
        <w:rPr>
          <w:rFonts w:ascii="Times New Roman" w:hAnsi="Times New Roman" w:cs="Times New Roman"/>
          <w:sz w:val="24"/>
          <w:szCs w:val="24"/>
        </w:rPr>
        <w:t xml:space="preserve">ppellate </w:t>
      </w:r>
      <w:r w:rsidR="00813664">
        <w:rPr>
          <w:rFonts w:ascii="Times New Roman" w:hAnsi="Times New Roman" w:cs="Times New Roman"/>
          <w:sz w:val="24"/>
          <w:szCs w:val="24"/>
        </w:rPr>
        <w:t>Division</w:t>
      </w:r>
      <w:r w:rsidR="00FF150E">
        <w:rPr>
          <w:rFonts w:ascii="Times New Roman" w:hAnsi="Times New Roman" w:cs="Times New Roman"/>
          <w:sz w:val="24"/>
          <w:szCs w:val="24"/>
        </w:rPr>
        <w:t xml:space="preserve"> disagreed with the </w:t>
      </w:r>
      <w:r w:rsidR="00813664">
        <w:rPr>
          <w:rFonts w:ascii="Times New Roman" w:hAnsi="Times New Roman" w:cs="Times New Roman"/>
          <w:sz w:val="24"/>
          <w:szCs w:val="24"/>
        </w:rPr>
        <w:t>T</w:t>
      </w:r>
      <w:r w:rsidR="00FF150E">
        <w:rPr>
          <w:rFonts w:ascii="Times New Roman" w:hAnsi="Times New Roman" w:cs="Times New Roman"/>
          <w:sz w:val="24"/>
          <w:szCs w:val="24"/>
        </w:rPr>
        <w:t xml:space="preserve">rial Court’s finding that such a notice was not required in this case because the Board did not discuss </w:t>
      </w:r>
      <w:proofErr w:type="spellStart"/>
      <w:r w:rsidR="00FF150E">
        <w:rPr>
          <w:rFonts w:ascii="Times New Roman" w:hAnsi="Times New Roman" w:cs="Times New Roman"/>
          <w:sz w:val="24"/>
          <w:szCs w:val="24"/>
        </w:rPr>
        <w:t>Hascup’s</w:t>
      </w:r>
      <w:proofErr w:type="spellEnd"/>
      <w:r w:rsidR="00FF150E">
        <w:rPr>
          <w:rFonts w:ascii="Times New Roman" w:hAnsi="Times New Roman" w:cs="Times New Roman"/>
          <w:sz w:val="24"/>
          <w:szCs w:val="24"/>
        </w:rPr>
        <w:t xml:space="preserve"> reappointment in private session.</w:t>
      </w:r>
      <w:r w:rsidR="00FF150E">
        <w:rPr>
          <w:rStyle w:val="FootnoteReference"/>
          <w:rFonts w:cs="Times New Roman"/>
          <w:sz w:val="24"/>
          <w:szCs w:val="24"/>
        </w:rPr>
        <w:footnoteReference w:id="21"/>
      </w:r>
      <w:r w:rsidR="00FF150E">
        <w:rPr>
          <w:rFonts w:ascii="Times New Roman" w:hAnsi="Times New Roman" w:cs="Times New Roman"/>
          <w:sz w:val="24"/>
          <w:szCs w:val="24"/>
        </w:rPr>
        <w:t xml:space="preserve"> Specifically, the Court noted that “the fact that the Board voted not to reappoint </w:t>
      </w:r>
      <w:proofErr w:type="spellStart"/>
      <w:r w:rsidR="00FF150E">
        <w:rPr>
          <w:rFonts w:ascii="Times New Roman" w:hAnsi="Times New Roman" w:cs="Times New Roman"/>
          <w:sz w:val="24"/>
          <w:szCs w:val="24"/>
        </w:rPr>
        <w:t>Hascup</w:t>
      </w:r>
      <w:proofErr w:type="spellEnd"/>
      <w:r w:rsidR="00FF150E">
        <w:rPr>
          <w:rFonts w:ascii="Times New Roman" w:hAnsi="Times New Roman" w:cs="Times New Roman"/>
          <w:sz w:val="24"/>
          <w:szCs w:val="24"/>
        </w:rPr>
        <w:t xml:space="preserve"> without discussion in order to avoid sending her a </w:t>
      </w:r>
      <w:r w:rsidR="00FF150E">
        <w:rPr>
          <w:rFonts w:ascii="Times New Roman" w:hAnsi="Times New Roman" w:cs="Times New Roman"/>
          <w:i/>
          <w:sz w:val="24"/>
          <w:szCs w:val="24"/>
        </w:rPr>
        <w:t xml:space="preserve">Rice </w:t>
      </w:r>
      <w:r w:rsidR="00FF150E">
        <w:rPr>
          <w:rFonts w:ascii="Times New Roman" w:hAnsi="Times New Roman" w:cs="Times New Roman"/>
          <w:sz w:val="24"/>
          <w:szCs w:val="24"/>
        </w:rPr>
        <w:t>notice obscured the decision-making process.”</w:t>
      </w:r>
      <w:r w:rsidR="00FF150E">
        <w:rPr>
          <w:rStyle w:val="FootnoteReference"/>
          <w:rFonts w:cs="Times New Roman"/>
          <w:sz w:val="24"/>
          <w:szCs w:val="24"/>
        </w:rPr>
        <w:footnoteReference w:id="22"/>
      </w:r>
      <w:r w:rsidR="0028353A">
        <w:rPr>
          <w:rFonts w:ascii="Times New Roman" w:hAnsi="Times New Roman" w:cs="Times New Roman"/>
          <w:sz w:val="24"/>
          <w:szCs w:val="24"/>
        </w:rPr>
        <w:t xml:space="preserve"> In </w:t>
      </w:r>
      <w:r w:rsidR="0028353A">
        <w:rPr>
          <w:rFonts w:ascii="Times New Roman" w:hAnsi="Times New Roman" w:cs="Times New Roman"/>
          <w:i/>
          <w:sz w:val="24"/>
          <w:szCs w:val="24"/>
        </w:rPr>
        <w:t xml:space="preserve">Rice, </w:t>
      </w:r>
      <w:r w:rsidR="0028353A">
        <w:rPr>
          <w:rFonts w:ascii="Times New Roman" w:hAnsi="Times New Roman" w:cs="Times New Roman"/>
          <w:sz w:val="24"/>
          <w:szCs w:val="24"/>
        </w:rPr>
        <w:t>the Court held that the personnel exception listed in OPMA could only be waived “if all employees whose rights could be adversely affected decide to request a public hearing.”</w:t>
      </w:r>
      <w:r w:rsidR="0028353A">
        <w:rPr>
          <w:rStyle w:val="FootnoteReference"/>
          <w:rFonts w:cs="Times New Roman"/>
          <w:sz w:val="24"/>
          <w:szCs w:val="24"/>
        </w:rPr>
        <w:footnoteReference w:id="23"/>
      </w:r>
      <w:r w:rsidR="0028353A">
        <w:rPr>
          <w:rFonts w:ascii="Times New Roman" w:hAnsi="Times New Roman" w:cs="Times New Roman"/>
          <w:sz w:val="24"/>
          <w:szCs w:val="24"/>
        </w:rPr>
        <w:t xml:space="preserve"> As articulated by that Court, the </w:t>
      </w:r>
      <w:r w:rsidR="0028353A">
        <w:rPr>
          <w:rFonts w:ascii="Times New Roman" w:hAnsi="Times New Roman" w:cs="Times New Roman"/>
          <w:i/>
          <w:sz w:val="24"/>
          <w:szCs w:val="24"/>
        </w:rPr>
        <w:t xml:space="preserve">Rice </w:t>
      </w:r>
      <w:r w:rsidR="0028353A">
        <w:rPr>
          <w:rFonts w:ascii="Times New Roman" w:hAnsi="Times New Roman" w:cs="Times New Roman"/>
          <w:sz w:val="24"/>
          <w:szCs w:val="24"/>
        </w:rPr>
        <w:t xml:space="preserve">notice imposed an obligation on the public body employer to “provide the affected employees with reasonable advance notice to </w:t>
      </w:r>
      <w:r w:rsidR="0028353A">
        <w:rPr>
          <w:rFonts w:ascii="Times New Roman" w:hAnsi="Times New Roman" w:cs="Times New Roman"/>
          <w:sz w:val="24"/>
          <w:szCs w:val="24"/>
        </w:rPr>
        <w:lastRenderedPageBreak/>
        <w:t>enable them to (1) make a decision on whether they desire a public discussion; and (2) prepare and present an appropriate request in writing.”</w:t>
      </w:r>
      <w:r w:rsidR="0028353A">
        <w:rPr>
          <w:rStyle w:val="FootnoteReference"/>
          <w:rFonts w:cs="Times New Roman"/>
          <w:sz w:val="24"/>
          <w:szCs w:val="24"/>
        </w:rPr>
        <w:footnoteReference w:id="24"/>
      </w:r>
      <w:r w:rsidR="00596283">
        <w:rPr>
          <w:rFonts w:ascii="Times New Roman" w:hAnsi="Times New Roman" w:cs="Times New Roman"/>
          <w:sz w:val="24"/>
          <w:szCs w:val="24"/>
        </w:rPr>
        <w:t xml:space="preserve"> </w:t>
      </w:r>
    </w:p>
    <w:p w:rsidR="00813664" w:rsidRDefault="00813664" w:rsidP="0028353A">
      <w:pPr>
        <w:spacing w:line="276" w:lineRule="auto"/>
        <w:ind w:firstLine="720"/>
        <w:jc w:val="both"/>
        <w:rPr>
          <w:rFonts w:ascii="Times New Roman" w:hAnsi="Times New Roman" w:cs="Times New Roman"/>
          <w:sz w:val="24"/>
          <w:szCs w:val="24"/>
        </w:rPr>
      </w:pPr>
    </w:p>
    <w:p w:rsidR="00E266B6" w:rsidRDefault="00B814D8" w:rsidP="00E266B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statute does not specify that public bodies must provide any notice to individuals whose </w:t>
      </w:r>
      <w:r w:rsidR="00E01E40">
        <w:rPr>
          <w:rFonts w:ascii="Times New Roman" w:hAnsi="Times New Roman" w:cs="Times New Roman"/>
          <w:sz w:val="24"/>
          <w:szCs w:val="24"/>
        </w:rPr>
        <w:t>rights could be adversely affected</w:t>
      </w:r>
      <w:r>
        <w:rPr>
          <w:rFonts w:ascii="Times New Roman" w:hAnsi="Times New Roman" w:cs="Times New Roman"/>
          <w:sz w:val="24"/>
          <w:szCs w:val="24"/>
        </w:rPr>
        <w:t xml:space="preserve">. </w:t>
      </w:r>
      <w:r w:rsidR="00E266B6">
        <w:rPr>
          <w:rFonts w:ascii="Times New Roman" w:hAnsi="Times New Roman" w:cs="Times New Roman"/>
          <w:sz w:val="24"/>
          <w:szCs w:val="24"/>
        </w:rPr>
        <w:t xml:space="preserve">The Appellate Division, however, suggested that </w:t>
      </w:r>
    </w:p>
    <w:p w:rsidR="00E266B6" w:rsidRDefault="00E266B6" w:rsidP="00E266B6">
      <w:pPr>
        <w:spacing w:line="276" w:lineRule="auto"/>
        <w:ind w:firstLine="720"/>
        <w:jc w:val="both"/>
        <w:rPr>
          <w:rFonts w:ascii="Times New Roman" w:hAnsi="Times New Roman" w:cs="Times New Roman"/>
          <w:sz w:val="24"/>
          <w:szCs w:val="24"/>
        </w:rPr>
      </w:pPr>
    </w:p>
    <w:p w:rsidR="00E266B6" w:rsidRDefault="00E266B6" w:rsidP="00E266B6">
      <w:pPr>
        <w:spacing w:line="276" w:lineRule="auto"/>
        <w:ind w:left="720" w:right="720"/>
        <w:jc w:val="both"/>
        <w:rPr>
          <w:rFonts w:ascii="Times New Roman" w:hAnsi="Times New Roman" w:cs="Times New Roman"/>
          <w:sz w:val="24"/>
          <w:szCs w:val="24"/>
        </w:rPr>
      </w:pPr>
      <w:r>
        <w:rPr>
          <w:rFonts w:ascii="Times New Roman" w:hAnsi="Times New Roman" w:cs="Times New Roman"/>
          <w:sz w:val="24"/>
          <w:szCs w:val="24"/>
        </w:rPr>
        <w:t>[t]</w:t>
      </w:r>
      <w:r w:rsidRPr="00E266B6">
        <w:rPr>
          <w:rFonts w:ascii="Times New Roman" w:hAnsi="Times New Roman" w:cs="Times New Roman"/>
          <w:sz w:val="24"/>
          <w:szCs w:val="24"/>
        </w:rPr>
        <w:t>he OPMA is expressly intended to promote meaningful citizen participation in governmental affairs. When a public body acts on a personnel matter without prior discussion of any kind, the silent unexplained vote cast by the Board member reduces the event to a perfunctory exercise, devoid of both substance and meaning. That is the antithesis of what the Legislature intended when it adopted the OPMA. </w:t>
      </w:r>
      <w:r w:rsidRPr="00E266B6">
        <w:rPr>
          <w:rFonts w:ascii="Times New Roman" w:hAnsi="Times New Roman" w:cs="Times New Roman"/>
          <w:i/>
          <w:iCs/>
          <w:sz w:val="24"/>
          <w:szCs w:val="24"/>
        </w:rPr>
        <w:t>N.J.S.A.</w:t>
      </w:r>
      <w:r w:rsidRPr="00E266B6">
        <w:rPr>
          <w:rFonts w:ascii="Times New Roman" w:hAnsi="Times New Roman" w:cs="Times New Roman"/>
          <w:sz w:val="24"/>
          <w:szCs w:val="24"/>
        </w:rPr>
        <w:t> 10:4–7.</w:t>
      </w:r>
      <w:r>
        <w:rPr>
          <w:rStyle w:val="FootnoteReference"/>
          <w:rFonts w:cs="Times New Roman"/>
          <w:sz w:val="24"/>
          <w:szCs w:val="24"/>
        </w:rPr>
        <w:footnoteReference w:id="25"/>
      </w:r>
    </w:p>
    <w:p w:rsidR="00E266B6" w:rsidRDefault="00E266B6" w:rsidP="00E266B6">
      <w:pPr>
        <w:spacing w:line="276" w:lineRule="auto"/>
        <w:ind w:firstLine="720"/>
        <w:jc w:val="both"/>
        <w:rPr>
          <w:rFonts w:ascii="Times New Roman" w:hAnsi="Times New Roman" w:cs="Times New Roman"/>
          <w:sz w:val="24"/>
          <w:szCs w:val="24"/>
        </w:rPr>
      </w:pPr>
    </w:p>
    <w:p w:rsidR="00032522" w:rsidRDefault="00B814D8" w:rsidP="00E266B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this case illustrated, absent concrete </w:t>
      </w:r>
      <w:r w:rsidR="00E266B6">
        <w:rPr>
          <w:rFonts w:ascii="Times New Roman" w:hAnsi="Times New Roman" w:cs="Times New Roman"/>
          <w:sz w:val="24"/>
          <w:szCs w:val="24"/>
        </w:rPr>
        <w:t>statutory</w:t>
      </w:r>
      <w:r>
        <w:rPr>
          <w:rFonts w:ascii="Times New Roman" w:hAnsi="Times New Roman" w:cs="Times New Roman"/>
          <w:sz w:val="24"/>
          <w:szCs w:val="24"/>
        </w:rPr>
        <w:t xml:space="preserve"> language</w:t>
      </w:r>
      <w:r w:rsidR="00060089">
        <w:rPr>
          <w:rFonts w:ascii="Times New Roman" w:hAnsi="Times New Roman" w:cs="Times New Roman"/>
          <w:sz w:val="24"/>
          <w:szCs w:val="24"/>
        </w:rPr>
        <w:t>, the issue</w:t>
      </w:r>
      <w:r>
        <w:rPr>
          <w:rFonts w:ascii="Times New Roman" w:hAnsi="Times New Roman" w:cs="Times New Roman"/>
          <w:sz w:val="24"/>
          <w:szCs w:val="24"/>
        </w:rPr>
        <w:t xml:space="preserve"> </w:t>
      </w:r>
      <w:r w:rsidR="00060089">
        <w:rPr>
          <w:rFonts w:ascii="Times New Roman" w:hAnsi="Times New Roman" w:cs="Times New Roman"/>
          <w:sz w:val="24"/>
          <w:szCs w:val="24"/>
        </w:rPr>
        <w:t>is left</w:t>
      </w:r>
      <w:r>
        <w:rPr>
          <w:rFonts w:ascii="Times New Roman" w:hAnsi="Times New Roman" w:cs="Times New Roman"/>
          <w:sz w:val="24"/>
          <w:szCs w:val="24"/>
        </w:rPr>
        <w:t xml:space="preserve"> open for courts to </w:t>
      </w:r>
      <w:r w:rsidRPr="00E01E40">
        <w:rPr>
          <w:rFonts w:ascii="Times New Roman" w:hAnsi="Times New Roman" w:cs="Times New Roman"/>
          <w:sz w:val="24"/>
          <w:szCs w:val="24"/>
        </w:rPr>
        <w:t xml:space="preserve">determine </w:t>
      </w:r>
      <w:r w:rsidR="00E01E40">
        <w:rPr>
          <w:rFonts w:ascii="Times New Roman" w:hAnsi="Times New Roman" w:cs="Times New Roman"/>
          <w:sz w:val="24"/>
          <w:szCs w:val="24"/>
        </w:rPr>
        <w:t xml:space="preserve">in what instances such notice should be provided. Here, there was some legislative history with regard to notices, as indicated in </w:t>
      </w:r>
      <w:r w:rsidR="00E01E40">
        <w:rPr>
          <w:rFonts w:ascii="Times New Roman" w:hAnsi="Times New Roman" w:cs="Times New Roman"/>
          <w:i/>
          <w:sz w:val="24"/>
          <w:szCs w:val="24"/>
        </w:rPr>
        <w:t>Rice</w:t>
      </w:r>
      <w:r w:rsidR="00032522">
        <w:rPr>
          <w:rFonts w:ascii="Times New Roman" w:hAnsi="Times New Roman" w:cs="Times New Roman"/>
          <w:sz w:val="24"/>
          <w:szCs w:val="24"/>
        </w:rPr>
        <w:t xml:space="preserve">, but the available guidance is limited and the Appellate Division explained </w:t>
      </w:r>
    </w:p>
    <w:p w:rsidR="00032522" w:rsidRDefault="00032522" w:rsidP="00E266B6">
      <w:pPr>
        <w:spacing w:line="276" w:lineRule="auto"/>
        <w:ind w:firstLine="720"/>
        <w:jc w:val="both"/>
        <w:rPr>
          <w:rFonts w:ascii="Times New Roman" w:hAnsi="Times New Roman" w:cs="Times New Roman"/>
          <w:sz w:val="24"/>
          <w:szCs w:val="24"/>
        </w:rPr>
      </w:pPr>
    </w:p>
    <w:p w:rsidR="00032522" w:rsidRDefault="00032522" w:rsidP="00032522">
      <w:pPr>
        <w:spacing w:line="276" w:lineRule="auto"/>
        <w:ind w:left="720" w:right="720"/>
        <w:jc w:val="both"/>
        <w:rPr>
          <w:rFonts w:ascii="Times New Roman" w:hAnsi="Times New Roman" w:cs="Times New Roman"/>
          <w:sz w:val="24"/>
          <w:szCs w:val="24"/>
        </w:rPr>
      </w:pPr>
      <w:r>
        <w:rPr>
          <w:rFonts w:ascii="Times New Roman" w:hAnsi="Times New Roman" w:cs="Times New Roman"/>
          <w:sz w:val="24"/>
          <w:szCs w:val="24"/>
        </w:rPr>
        <w:t>[w]</w:t>
      </w:r>
      <w:r w:rsidRPr="00032522">
        <w:rPr>
          <w:rFonts w:ascii="Times New Roman" w:hAnsi="Times New Roman" w:cs="Times New Roman"/>
          <w:sz w:val="24"/>
          <w:szCs w:val="24"/>
        </w:rPr>
        <w:t>e now hold that a public body is required to send out a </w:t>
      </w:r>
      <w:r w:rsidRPr="00032522">
        <w:rPr>
          <w:rFonts w:ascii="Times New Roman" w:hAnsi="Times New Roman" w:cs="Times New Roman"/>
          <w:iCs/>
          <w:sz w:val="24"/>
          <w:szCs w:val="24"/>
        </w:rPr>
        <w:t>Rice</w:t>
      </w:r>
      <w:r w:rsidRPr="00032522">
        <w:rPr>
          <w:rFonts w:ascii="Times New Roman" w:hAnsi="Times New Roman" w:cs="Times New Roman"/>
          <w:sz w:val="24"/>
          <w:szCs w:val="24"/>
        </w:rPr>
        <w:t> notice </w:t>
      </w:r>
      <w:r w:rsidRPr="00032522">
        <w:rPr>
          <w:rFonts w:ascii="Times New Roman" w:hAnsi="Times New Roman" w:cs="Times New Roman"/>
          <w:sz w:val="24"/>
          <w:szCs w:val="24"/>
          <w:u w:val="single"/>
        </w:rPr>
        <w:t>any time</w:t>
      </w:r>
      <w:r w:rsidRPr="00032522">
        <w:rPr>
          <w:rFonts w:ascii="Times New Roman" w:hAnsi="Times New Roman" w:cs="Times New Roman"/>
          <w:sz w:val="24"/>
          <w:szCs w:val="24"/>
        </w:rPr>
        <w:t xml:space="preserve"> it has placed on its agenda any matters “involving the employment, appointment, termination of employment, terms and conditions of employment, evaluation of the performance of, promotion, or disciplining of any specific prospective public officer or employee or current public officer or employee employed or appointed by the public </w:t>
      </w:r>
      <w:proofErr w:type="gramStart"/>
      <w:r w:rsidRPr="00032522">
        <w:rPr>
          <w:rFonts w:ascii="Times New Roman" w:hAnsi="Times New Roman" w:cs="Times New Roman"/>
          <w:sz w:val="24"/>
          <w:szCs w:val="24"/>
        </w:rPr>
        <w:t>body[</w:t>
      </w:r>
      <w:proofErr w:type="gramEnd"/>
      <w:r w:rsidRPr="00032522">
        <w:rPr>
          <w:rFonts w:ascii="Times New Roman" w:hAnsi="Times New Roman" w:cs="Times New Roman"/>
          <w:sz w:val="24"/>
          <w:szCs w:val="24"/>
        </w:rPr>
        <w:t>.]” </w:t>
      </w:r>
      <w:r w:rsidRPr="00032522">
        <w:rPr>
          <w:rFonts w:ascii="Times New Roman" w:hAnsi="Times New Roman" w:cs="Times New Roman"/>
          <w:iCs/>
          <w:sz w:val="24"/>
          <w:szCs w:val="24"/>
        </w:rPr>
        <w:t>N.J.S.A.</w:t>
      </w:r>
      <w:r w:rsidRPr="00032522">
        <w:rPr>
          <w:rFonts w:ascii="Times New Roman" w:hAnsi="Times New Roman" w:cs="Times New Roman"/>
          <w:sz w:val="24"/>
          <w:szCs w:val="24"/>
        </w:rPr>
        <w:t> 10:4–12(b</w:t>
      </w:r>
      <w:proofErr w:type="gramStart"/>
      <w:r w:rsidRPr="00032522">
        <w:rPr>
          <w:rFonts w:ascii="Times New Roman" w:hAnsi="Times New Roman" w:cs="Times New Roman"/>
          <w:sz w:val="24"/>
          <w:szCs w:val="24"/>
        </w:rPr>
        <w:t>)(</w:t>
      </w:r>
      <w:proofErr w:type="gramEnd"/>
      <w:r w:rsidRPr="00032522">
        <w:rPr>
          <w:rFonts w:ascii="Times New Roman" w:hAnsi="Times New Roman" w:cs="Times New Roman"/>
          <w:sz w:val="24"/>
          <w:szCs w:val="24"/>
        </w:rPr>
        <w:t>8). This approach will provide all of the affected employees with the opportunity to: (1) decide whether they desire a public discussion, and (2) prepare and present an appropriate request in writing. </w:t>
      </w:r>
      <w:bookmarkStart w:id="0" w:name="_GoBack"/>
      <w:r w:rsidRPr="009C7EB3">
        <w:rPr>
          <w:rFonts w:ascii="Times New Roman" w:hAnsi="Times New Roman" w:cs="Times New Roman"/>
          <w:i/>
          <w:iCs/>
          <w:sz w:val="24"/>
          <w:szCs w:val="24"/>
        </w:rPr>
        <w:t>Rice</w:t>
      </w:r>
      <w:r w:rsidRPr="009C7EB3">
        <w:rPr>
          <w:rFonts w:ascii="Times New Roman" w:hAnsi="Times New Roman" w:cs="Times New Roman"/>
          <w:i/>
          <w:sz w:val="24"/>
          <w:szCs w:val="24"/>
        </w:rPr>
        <w:t>, </w:t>
      </w:r>
      <w:r w:rsidRPr="009C7EB3">
        <w:rPr>
          <w:rFonts w:ascii="Times New Roman" w:hAnsi="Times New Roman" w:cs="Times New Roman"/>
          <w:i/>
          <w:iCs/>
          <w:sz w:val="24"/>
          <w:szCs w:val="24"/>
        </w:rPr>
        <w:t>supra</w:t>
      </w:r>
      <w:bookmarkEnd w:id="0"/>
      <w:r w:rsidRPr="00032522">
        <w:rPr>
          <w:rFonts w:ascii="Times New Roman" w:hAnsi="Times New Roman" w:cs="Times New Roman"/>
          <w:sz w:val="24"/>
          <w:szCs w:val="24"/>
        </w:rPr>
        <w:t>, 155 </w:t>
      </w:r>
      <w:r w:rsidRPr="00032522">
        <w:rPr>
          <w:rFonts w:ascii="Times New Roman" w:hAnsi="Times New Roman" w:cs="Times New Roman"/>
          <w:iCs/>
          <w:sz w:val="24"/>
          <w:szCs w:val="24"/>
        </w:rPr>
        <w:t>N.J.</w:t>
      </w:r>
      <w:r>
        <w:rPr>
          <w:rFonts w:ascii="Times New Roman" w:hAnsi="Times New Roman" w:cs="Times New Roman"/>
          <w:iCs/>
          <w:sz w:val="24"/>
          <w:szCs w:val="24"/>
        </w:rPr>
        <w:t xml:space="preserve"> </w:t>
      </w:r>
      <w:r w:rsidRPr="00032522">
        <w:rPr>
          <w:rFonts w:ascii="Times New Roman" w:hAnsi="Times New Roman" w:cs="Times New Roman"/>
          <w:iCs/>
          <w:sz w:val="24"/>
          <w:szCs w:val="24"/>
        </w:rPr>
        <w:t>Super.</w:t>
      </w:r>
      <w:r w:rsidRPr="00032522">
        <w:rPr>
          <w:rFonts w:ascii="Times New Roman" w:hAnsi="Times New Roman" w:cs="Times New Roman"/>
          <w:sz w:val="24"/>
          <w:szCs w:val="24"/>
        </w:rPr>
        <w:t> </w:t>
      </w:r>
      <w:proofErr w:type="gramStart"/>
      <w:r w:rsidRPr="00032522">
        <w:rPr>
          <w:rFonts w:ascii="Times New Roman" w:hAnsi="Times New Roman" w:cs="Times New Roman"/>
          <w:sz w:val="24"/>
          <w:szCs w:val="24"/>
        </w:rPr>
        <w:t>at</w:t>
      </w:r>
      <w:proofErr w:type="gramEnd"/>
      <w:r w:rsidRPr="00032522">
        <w:rPr>
          <w:rFonts w:ascii="Times New Roman" w:hAnsi="Times New Roman" w:cs="Times New Roman"/>
          <w:sz w:val="24"/>
          <w:szCs w:val="24"/>
        </w:rPr>
        <w:t xml:space="preserve"> 73</w:t>
      </w:r>
      <w:r>
        <w:rPr>
          <w:rFonts w:ascii="Times New Roman" w:hAnsi="Times New Roman" w:cs="Times New Roman"/>
          <w:sz w:val="24"/>
          <w:szCs w:val="24"/>
        </w:rPr>
        <w:t>..</w:t>
      </w:r>
      <w:r w:rsidRPr="00032522">
        <w:rPr>
          <w:rFonts w:ascii="Times New Roman" w:hAnsi="Times New Roman" w:cs="Times New Roman"/>
          <w:sz w:val="24"/>
          <w:szCs w:val="24"/>
        </w:rPr>
        <w:t>.</w:t>
      </w:r>
      <w:r>
        <w:rPr>
          <w:rStyle w:val="FootnoteReference"/>
          <w:rFonts w:cs="Times New Roman"/>
          <w:sz w:val="24"/>
          <w:szCs w:val="24"/>
        </w:rPr>
        <w:footnoteReference w:id="26"/>
      </w:r>
    </w:p>
    <w:p w:rsidR="00032522" w:rsidRPr="00032522" w:rsidRDefault="00032522" w:rsidP="00032522">
      <w:pPr>
        <w:spacing w:line="276" w:lineRule="auto"/>
        <w:ind w:left="720" w:right="720"/>
        <w:jc w:val="both"/>
        <w:rPr>
          <w:rFonts w:ascii="Times New Roman" w:hAnsi="Times New Roman" w:cs="Times New Roman"/>
          <w:sz w:val="24"/>
          <w:szCs w:val="24"/>
        </w:rPr>
      </w:pPr>
    </w:p>
    <w:p w:rsidR="005E572A" w:rsidRDefault="005E572A" w:rsidP="0071555D">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E524DD" w:rsidRDefault="00E524DD" w:rsidP="00574E12">
      <w:pPr>
        <w:spacing w:line="276" w:lineRule="auto"/>
        <w:ind w:left="720"/>
        <w:jc w:val="center"/>
        <w:rPr>
          <w:rFonts w:ascii="Times New Roman" w:eastAsia="Times New Roman" w:hAnsi="Times New Roman" w:cs="Times New Roman"/>
          <w:sz w:val="24"/>
          <w:szCs w:val="24"/>
        </w:rPr>
      </w:pPr>
    </w:p>
    <w:p w:rsidR="00574E12" w:rsidRDefault="00465C9B" w:rsidP="00E524DD">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E524DD">
        <w:rPr>
          <w:rFonts w:ascii="Times New Roman" w:hAnsi="Times New Roman" w:cs="Times New Roman"/>
          <w:sz w:val="24"/>
          <w:szCs w:val="24"/>
        </w:rPr>
        <w:t xml:space="preserve">Staff </w:t>
      </w:r>
      <w:r w:rsidR="00574E12">
        <w:rPr>
          <w:rFonts w:ascii="Times New Roman" w:hAnsi="Times New Roman" w:cs="Times New Roman"/>
          <w:sz w:val="24"/>
          <w:szCs w:val="24"/>
        </w:rPr>
        <w:t xml:space="preserve">seeks </w:t>
      </w:r>
      <w:r w:rsidR="00E524DD">
        <w:rPr>
          <w:rFonts w:ascii="Times New Roman" w:hAnsi="Times New Roman" w:cs="Times New Roman"/>
          <w:sz w:val="24"/>
          <w:szCs w:val="24"/>
        </w:rPr>
        <w:t xml:space="preserve">authorization </w:t>
      </w:r>
      <w:r w:rsidR="00574E12">
        <w:rPr>
          <w:rFonts w:ascii="Times New Roman" w:hAnsi="Times New Roman" w:cs="Times New Roman"/>
          <w:sz w:val="24"/>
          <w:szCs w:val="24"/>
        </w:rPr>
        <w:t xml:space="preserve">to conduct additional research and outreach </w:t>
      </w:r>
      <w:r w:rsidR="00D80F8C">
        <w:rPr>
          <w:rFonts w:ascii="Times New Roman" w:hAnsi="Times New Roman" w:cs="Times New Roman"/>
          <w:sz w:val="24"/>
          <w:szCs w:val="24"/>
        </w:rPr>
        <w:t>regarding</w:t>
      </w:r>
      <w:r w:rsidR="00574E12">
        <w:rPr>
          <w:rFonts w:ascii="Times New Roman" w:hAnsi="Times New Roman" w:cs="Times New Roman"/>
          <w:sz w:val="24"/>
          <w:szCs w:val="24"/>
        </w:rPr>
        <w:t xml:space="preserve"> the issue</w:t>
      </w:r>
      <w:r w:rsidR="00D80F8C">
        <w:rPr>
          <w:rFonts w:ascii="Times New Roman" w:hAnsi="Times New Roman" w:cs="Times New Roman"/>
          <w:sz w:val="24"/>
          <w:szCs w:val="24"/>
        </w:rPr>
        <w:t>s</w:t>
      </w:r>
      <w:r w:rsidR="00574E12">
        <w:rPr>
          <w:rFonts w:ascii="Times New Roman" w:hAnsi="Times New Roman" w:cs="Times New Roman"/>
          <w:sz w:val="24"/>
          <w:szCs w:val="24"/>
        </w:rPr>
        <w:t xml:space="preserve"> </w:t>
      </w:r>
      <w:r w:rsidR="00E524DD">
        <w:rPr>
          <w:rFonts w:ascii="Times New Roman" w:hAnsi="Times New Roman" w:cs="Times New Roman"/>
          <w:sz w:val="24"/>
          <w:szCs w:val="24"/>
        </w:rPr>
        <w:t xml:space="preserve">identified </w:t>
      </w:r>
      <w:r w:rsidR="00574E12">
        <w:rPr>
          <w:rFonts w:ascii="Times New Roman" w:hAnsi="Times New Roman" w:cs="Times New Roman"/>
          <w:sz w:val="24"/>
          <w:szCs w:val="24"/>
        </w:rPr>
        <w:t xml:space="preserve">in </w:t>
      </w:r>
      <w:r w:rsidR="00060089" w:rsidRPr="00060089">
        <w:rPr>
          <w:rFonts w:ascii="Times New Roman" w:hAnsi="Times New Roman" w:cs="Times New Roman"/>
          <w:i/>
          <w:sz w:val="24"/>
          <w:szCs w:val="24"/>
        </w:rPr>
        <w:t>Kean Federation of Teachers v. Morell</w:t>
      </w:r>
      <w:r w:rsidR="00060089">
        <w:rPr>
          <w:rFonts w:ascii="Times New Roman" w:hAnsi="Times New Roman" w:cs="Times New Roman"/>
          <w:sz w:val="24"/>
          <w:szCs w:val="24"/>
        </w:rPr>
        <w:t xml:space="preserve"> </w:t>
      </w:r>
      <w:r w:rsidR="00E524DD">
        <w:rPr>
          <w:rFonts w:ascii="Times New Roman" w:hAnsi="Times New Roman" w:cs="Times New Roman"/>
          <w:sz w:val="24"/>
          <w:szCs w:val="24"/>
        </w:rPr>
        <w:t xml:space="preserve">to </w:t>
      </w:r>
      <w:r w:rsidR="007D3DC1">
        <w:rPr>
          <w:rFonts w:ascii="Times New Roman" w:hAnsi="Times New Roman" w:cs="Times New Roman"/>
          <w:sz w:val="24"/>
          <w:szCs w:val="24"/>
        </w:rPr>
        <w:t>determine</w:t>
      </w:r>
      <w:r w:rsidR="00E524DD">
        <w:rPr>
          <w:rFonts w:ascii="Times New Roman" w:hAnsi="Times New Roman" w:cs="Times New Roman"/>
          <w:sz w:val="24"/>
          <w:szCs w:val="24"/>
        </w:rPr>
        <w:t xml:space="preserve"> if any modification to the statute could be of use in achieving predictable and consistent outcomes in the cases that arise moving forward</w:t>
      </w:r>
      <w:r w:rsidR="00574E12">
        <w:rPr>
          <w:rFonts w:ascii="Times New Roman" w:hAnsi="Times New Roman" w:cs="Times New Roman"/>
          <w:sz w:val="24"/>
          <w:szCs w:val="24"/>
        </w:rPr>
        <w:t>.</w:t>
      </w:r>
      <w:r w:rsidR="00574E12" w:rsidRPr="00574E12">
        <w:rPr>
          <w:rFonts w:ascii="Times New Roman" w:hAnsi="Times New Roman" w:cs="Times New Roman"/>
          <w:sz w:val="24"/>
          <w:szCs w:val="24"/>
        </w:rPr>
        <w:t xml:space="preserve"> </w:t>
      </w:r>
      <w:r w:rsidR="00E524DD">
        <w:rPr>
          <w:rFonts w:ascii="Times New Roman" w:hAnsi="Times New Roman" w:cs="Times New Roman"/>
          <w:sz w:val="24"/>
          <w:szCs w:val="24"/>
        </w:rPr>
        <w:t>To this time</w:t>
      </w:r>
      <w:r w:rsidR="00574E12">
        <w:rPr>
          <w:rFonts w:ascii="Times New Roman" w:hAnsi="Times New Roman" w:cs="Times New Roman"/>
          <w:sz w:val="24"/>
          <w:szCs w:val="24"/>
        </w:rPr>
        <w:t xml:space="preserve">, no other cases have addressed this specific issue with regard to </w:t>
      </w:r>
      <w:r w:rsidR="00060089">
        <w:rPr>
          <w:rFonts w:ascii="Times New Roman" w:hAnsi="Times New Roman" w:cs="Times New Roman"/>
          <w:sz w:val="24"/>
          <w:szCs w:val="24"/>
        </w:rPr>
        <w:t>OPMA</w:t>
      </w:r>
      <w:r w:rsidR="00792BE7">
        <w:rPr>
          <w:rFonts w:ascii="Times New Roman" w:hAnsi="Times New Roman" w:cs="Times New Roman"/>
          <w:sz w:val="24"/>
          <w:szCs w:val="24"/>
        </w:rPr>
        <w:t xml:space="preserve">, as it relates to meeting minutes, though there is a case, as described in detail above, which addresses </w:t>
      </w:r>
      <w:r w:rsidR="00D80F8C">
        <w:rPr>
          <w:rFonts w:ascii="Times New Roman" w:hAnsi="Times New Roman" w:cs="Times New Roman"/>
          <w:sz w:val="24"/>
          <w:szCs w:val="24"/>
        </w:rPr>
        <w:t xml:space="preserve">aspects of </w:t>
      </w:r>
      <w:r w:rsidR="00792BE7">
        <w:rPr>
          <w:rFonts w:ascii="Times New Roman" w:hAnsi="Times New Roman" w:cs="Times New Roman"/>
          <w:sz w:val="24"/>
          <w:szCs w:val="24"/>
        </w:rPr>
        <w:t>the issue of notice</w:t>
      </w:r>
      <w:r w:rsidR="00574E12">
        <w:rPr>
          <w:rFonts w:ascii="Times New Roman" w:hAnsi="Times New Roman" w:cs="Times New Roman"/>
          <w:sz w:val="24"/>
          <w:szCs w:val="24"/>
        </w:rPr>
        <w:t xml:space="preserve">. </w:t>
      </w:r>
    </w:p>
    <w:p w:rsidR="00211869" w:rsidRPr="008A75F6" w:rsidRDefault="00211869" w:rsidP="00CA6B90">
      <w:pPr>
        <w:spacing w:line="276" w:lineRule="auto"/>
        <w:jc w:val="both"/>
        <w:rPr>
          <w:rFonts w:ascii="Times New Roman" w:eastAsia="Times New Roman" w:hAnsi="Times New Roman" w:cs="Times New Roman"/>
          <w:sz w:val="24"/>
          <w:szCs w:val="24"/>
        </w:rPr>
      </w:pPr>
    </w:p>
    <w:sectPr w:rsidR="00211869" w:rsidRPr="008A75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9B" w:rsidRDefault="00465C9B" w:rsidP="005E572A">
      <w:r>
        <w:separator/>
      </w:r>
    </w:p>
  </w:endnote>
  <w:endnote w:type="continuationSeparator" w:id="0">
    <w:p w:rsidR="00465C9B" w:rsidRDefault="00465C9B" w:rsidP="005E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9B" w:rsidRPr="00411264" w:rsidRDefault="00465C9B" w:rsidP="00664090">
    <w:pPr>
      <w:rPr>
        <w:rFonts w:ascii="Times New Roman" w:hAnsi="Times New Roman" w:cs="Times New Roman"/>
        <w:sz w:val="20"/>
        <w:szCs w:val="20"/>
      </w:rPr>
    </w:pPr>
    <w:r w:rsidRPr="0074698C">
      <w:rPr>
        <w:rFonts w:ascii="Times New Roman" w:hAnsi="Times New Roman" w:cs="Times New Roman"/>
        <w:sz w:val="20"/>
        <w:szCs w:val="20"/>
      </w:rPr>
      <w:t>Memorandum</w:t>
    </w:r>
    <w:r w:rsidRPr="00664090">
      <w:rPr>
        <w:rFonts w:ascii="Times New Roman" w:hAnsi="Times New Roman" w:cs="Times New Roman"/>
        <w:sz w:val="20"/>
        <w:szCs w:val="20"/>
      </w:rPr>
      <w:t xml:space="preserve"> - </w:t>
    </w:r>
    <w:r w:rsidR="00CA29B6" w:rsidRPr="00CA29B6">
      <w:rPr>
        <w:rFonts w:ascii="Times New Roman" w:hAnsi="Times New Roman" w:cs="Times New Roman"/>
        <w:sz w:val="20"/>
        <w:szCs w:val="20"/>
      </w:rPr>
      <w:t>Open Public Meetings Act N.J.S.A. 10:4-12(b) (8); N.J.S.A. 10:4-14</w:t>
    </w:r>
    <w:r w:rsidR="00411264">
      <w:rPr>
        <w:rFonts w:ascii="Times New Roman" w:hAnsi="Times New Roman" w:cs="Times New Roman"/>
        <w:sz w:val="20"/>
        <w:szCs w:val="20"/>
      </w:rPr>
      <w:t xml:space="preserve">– </w:t>
    </w:r>
    <w:r w:rsidR="00CA29B6">
      <w:rPr>
        <w:rFonts w:ascii="Times New Roman" w:hAnsi="Times New Roman" w:cs="Times New Roman"/>
        <w:sz w:val="20"/>
        <w:szCs w:val="20"/>
      </w:rPr>
      <w:t>January 12, 2018</w:t>
    </w:r>
    <w:r w:rsidRPr="0074698C">
      <w:rPr>
        <w:rFonts w:ascii="Times New Roman" w:hAnsi="Times New Roman" w:cs="Times New Roman"/>
        <w:sz w:val="20"/>
        <w:szCs w:val="20"/>
      </w:rPr>
      <w:t xml:space="preserve"> – Page </w:t>
    </w:r>
    <w:r w:rsidRPr="0074698C">
      <w:rPr>
        <w:rFonts w:ascii="Times New Roman" w:hAnsi="Times New Roman" w:cs="Times New Roman"/>
        <w:sz w:val="20"/>
        <w:szCs w:val="20"/>
      </w:rPr>
      <w:fldChar w:fldCharType="begin"/>
    </w:r>
    <w:r w:rsidRPr="0074698C">
      <w:rPr>
        <w:rFonts w:ascii="Times New Roman" w:hAnsi="Times New Roman" w:cs="Times New Roman"/>
        <w:sz w:val="20"/>
        <w:szCs w:val="20"/>
      </w:rPr>
      <w:instrText xml:space="preserve"> PAGE   \* MERGEFORMAT </w:instrText>
    </w:r>
    <w:r w:rsidRPr="0074698C">
      <w:rPr>
        <w:rFonts w:ascii="Times New Roman" w:hAnsi="Times New Roman" w:cs="Times New Roman"/>
        <w:sz w:val="20"/>
        <w:szCs w:val="20"/>
      </w:rPr>
      <w:fldChar w:fldCharType="separate"/>
    </w:r>
    <w:r w:rsidR="009C7EB3">
      <w:rPr>
        <w:rFonts w:ascii="Times New Roman" w:hAnsi="Times New Roman" w:cs="Times New Roman"/>
        <w:noProof/>
        <w:sz w:val="20"/>
        <w:szCs w:val="20"/>
      </w:rPr>
      <w:t>5</w:t>
    </w:r>
    <w:r w:rsidRPr="0074698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9B" w:rsidRDefault="00465C9B" w:rsidP="005E572A">
      <w:r>
        <w:separator/>
      </w:r>
    </w:p>
  </w:footnote>
  <w:footnote w:type="continuationSeparator" w:id="0">
    <w:p w:rsidR="00465C9B" w:rsidRDefault="00465C9B" w:rsidP="005E572A">
      <w:r>
        <w:continuationSeparator/>
      </w:r>
    </w:p>
  </w:footnote>
  <w:footnote w:id="1">
    <w:p w:rsidR="0057667D" w:rsidRDefault="0057667D" w:rsidP="0057667D">
      <w:pPr>
        <w:pStyle w:val="FootnoteText"/>
      </w:pPr>
      <w:r>
        <w:rPr>
          <w:rStyle w:val="FootnoteReference"/>
        </w:rPr>
        <w:footnoteRef/>
      </w:r>
      <w:r>
        <w:t xml:space="preserve"> </w:t>
      </w:r>
      <w:r w:rsidRPr="00CA1D47">
        <w:rPr>
          <w:rFonts w:cs="Times New Roman"/>
          <w:i/>
        </w:rPr>
        <w:t xml:space="preserve">Kean Federation of Teachers v. Morell, </w:t>
      </w:r>
      <w:r w:rsidRPr="00CA1D47">
        <w:rPr>
          <w:rFonts w:cs="Times New Roman"/>
        </w:rPr>
        <w:t>448 N.J. Super. 520 (App. Div. 2017)</w:t>
      </w:r>
      <w:r>
        <w:rPr>
          <w:rFonts w:cs="Times New Roman"/>
        </w:rPr>
        <w:t>.</w:t>
      </w:r>
    </w:p>
  </w:footnote>
  <w:footnote w:id="2">
    <w:p w:rsidR="0057667D" w:rsidRPr="0057667D" w:rsidRDefault="0057667D">
      <w:pPr>
        <w:pStyle w:val="FootnoteText"/>
      </w:pPr>
      <w:r>
        <w:rPr>
          <w:rStyle w:val="FootnoteReference"/>
        </w:rPr>
        <w:footnoteRef/>
      </w:r>
      <w:r>
        <w:t xml:space="preserve"> </w:t>
      </w:r>
      <w:r>
        <w:rPr>
          <w:i/>
        </w:rPr>
        <w:t>Id.</w:t>
      </w:r>
      <w:r>
        <w:t xml:space="preserve"> at 524.</w:t>
      </w:r>
    </w:p>
  </w:footnote>
  <w:footnote w:id="3">
    <w:p w:rsidR="00CA1D47" w:rsidRDefault="00CA1D47">
      <w:pPr>
        <w:pStyle w:val="FootnoteText"/>
      </w:pPr>
      <w:r>
        <w:rPr>
          <w:rStyle w:val="FootnoteReference"/>
        </w:rPr>
        <w:footnoteRef/>
      </w:r>
      <w:r>
        <w:t xml:space="preserve"> </w:t>
      </w:r>
      <w:r>
        <w:rPr>
          <w:i/>
        </w:rPr>
        <w:t xml:space="preserve">Id </w:t>
      </w:r>
      <w:r>
        <w:t>at 525.</w:t>
      </w:r>
    </w:p>
  </w:footnote>
  <w:footnote w:id="4">
    <w:p w:rsidR="006B0039" w:rsidRPr="006B0039" w:rsidRDefault="006B0039">
      <w:pPr>
        <w:pStyle w:val="FootnoteText"/>
      </w:pPr>
      <w:r>
        <w:rPr>
          <w:rStyle w:val="FootnoteReference"/>
        </w:rPr>
        <w:footnoteRef/>
      </w:r>
      <w:r>
        <w:t xml:space="preserve"> </w:t>
      </w:r>
      <w:r>
        <w:rPr>
          <w:i/>
        </w:rPr>
        <w:t>Id</w:t>
      </w:r>
      <w:r w:rsidR="004F1A13">
        <w:t xml:space="preserve"> at 525</w:t>
      </w:r>
      <w:r>
        <w:t>.</w:t>
      </w:r>
    </w:p>
  </w:footnote>
  <w:footnote w:id="5">
    <w:p w:rsidR="006B0039" w:rsidRDefault="006B0039">
      <w:pPr>
        <w:pStyle w:val="FootnoteText"/>
      </w:pPr>
      <w:r>
        <w:rPr>
          <w:rStyle w:val="FootnoteReference"/>
        </w:rPr>
        <w:footnoteRef/>
      </w:r>
      <w:r>
        <w:t xml:space="preserve"> </w:t>
      </w:r>
      <w:r>
        <w:rPr>
          <w:i/>
        </w:rPr>
        <w:t>Id</w:t>
      </w:r>
      <w:r w:rsidR="00B06AA2">
        <w:t>.</w:t>
      </w:r>
    </w:p>
  </w:footnote>
  <w:footnote w:id="6">
    <w:p w:rsidR="00B06AA2" w:rsidRDefault="00B06AA2">
      <w:pPr>
        <w:pStyle w:val="FootnoteText"/>
      </w:pPr>
      <w:r>
        <w:rPr>
          <w:rStyle w:val="FootnoteReference"/>
        </w:rPr>
        <w:footnoteRef/>
      </w:r>
      <w:r>
        <w:t xml:space="preserve"> </w:t>
      </w:r>
      <w:r>
        <w:rPr>
          <w:i/>
        </w:rPr>
        <w:t>Id</w:t>
      </w:r>
      <w:r>
        <w:t xml:space="preserve"> at 524.</w:t>
      </w:r>
    </w:p>
  </w:footnote>
  <w:footnote w:id="7">
    <w:p w:rsidR="00852549" w:rsidRPr="009A3449" w:rsidRDefault="00852549" w:rsidP="00852549">
      <w:pPr>
        <w:pStyle w:val="FootnoteText"/>
      </w:pPr>
      <w:r>
        <w:rPr>
          <w:rStyle w:val="FootnoteReference"/>
        </w:rPr>
        <w:footnoteRef/>
      </w:r>
      <w:r>
        <w:t xml:space="preserve"> </w:t>
      </w:r>
      <w:r>
        <w:rPr>
          <w:i/>
        </w:rPr>
        <w:t xml:space="preserve">Id </w:t>
      </w:r>
      <w:r>
        <w:t>at 545.</w:t>
      </w:r>
    </w:p>
  </w:footnote>
  <w:footnote w:id="8">
    <w:p w:rsidR="00852549" w:rsidRDefault="00852549" w:rsidP="00852549">
      <w:pPr>
        <w:pStyle w:val="FootnoteText"/>
      </w:pPr>
      <w:r>
        <w:rPr>
          <w:rStyle w:val="FootnoteReference"/>
        </w:rPr>
        <w:footnoteRef/>
      </w:r>
      <w:r>
        <w:t xml:space="preserve"> </w:t>
      </w:r>
      <w:r>
        <w:rPr>
          <w:i/>
        </w:rPr>
        <w:t xml:space="preserve">Id </w:t>
      </w:r>
      <w:r>
        <w:t>at 526.</w:t>
      </w:r>
    </w:p>
  </w:footnote>
  <w:footnote w:id="9">
    <w:p w:rsidR="00B06AA2" w:rsidRPr="00B06AA2" w:rsidRDefault="00B06AA2">
      <w:pPr>
        <w:pStyle w:val="FootnoteText"/>
        <w:rPr>
          <w:i/>
        </w:rPr>
      </w:pPr>
      <w:r>
        <w:rPr>
          <w:rStyle w:val="FootnoteReference"/>
        </w:rPr>
        <w:footnoteRef/>
      </w:r>
      <w:r>
        <w:t xml:space="preserve"> </w:t>
      </w:r>
      <w:r>
        <w:rPr>
          <w:i/>
        </w:rPr>
        <w:t>Id</w:t>
      </w:r>
      <w:r w:rsidR="004F1A13">
        <w:rPr>
          <w:i/>
        </w:rPr>
        <w:t xml:space="preserve"> at 525</w:t>
      </w:r>
      <w:r>
        <w:rPr>
          <w:i/>
        </w:rPr>
        <w:t>.</w:t>
      </w:r>
    </w:p>
  </w:footnote>
  <w:footnote w:id="10">
    <w:p w:rsidR="004F1A13" w:rsidRPr="004F1A13" w:rsidRDefault="004F1A13" w:rsidP="004F1A13">
      <w:pPr>
        <w:rPr>
          <w:rFonts w:ascii="Times New Roman" w:hAnsi="Times New Roman" w:cs="Times New Roman"/>
          <w:b/>
          <w:sz w:val="24"/>
          <w:szCs w:val="24"/>
        </w:rPr>
      </w:pPr>
      <w:r>
        <w:rPr>
          <w:rStyle w:val="FootnoteReference"/>
        </w:rPr>
        <w:footnoteRef/>
      </w:r>
      <w:r>
        <w:t xml:space="preserve"> </w:t>
      </w:r>
      <w:r w:rsidRPr="004F1A13">
        <w:rPr>
          <w:rFonts w:ascii="Times New Roman" w:hAnsi="Times New Roman" w:cs="Times New Roman"/>
          <w:sz w:val="20"/>
          <w:szCs w:val="20"/>
        </w:rPr>
        <w:t>N.J.S.A. 10:4-14</w:t>
      </w:r>
    </w:p>
  </w:footnote>
  <w:footnote w:id="11">
    <w:p w:rsidR="00E01E40" w:rsidRDefault="00E01E40" w:rsidP="00E01E40">
      <w:pPr>
        <w:pStyle w:val="FootnoteText"/>
      </w:pPr>
      <w:r>
        <w:rPr>
          <w:rStyle w:val="FootnoteReference"/>
        </w:rPr>
        <w:footnoteRef/>
      </w:r>
      <w:r>
        <w:t xml:space="preserve"> </w:t>
      </w:r>
      <w:r w:rsidRPr="00CA1D47">
        <w:rPr>
          <w:rFonts w:cs="Times New Roman"/>
          <w:i/>
        </w:rPr>
        <w:t xml:space="preserve">Kean Federation of Teachers v. Morell, </w:t>
      </w:r>
      <w:r w:rsidRPr="00CA1D47">
        <w:rPr>
          <w:rFonts w:cs="Times New Roman"/>
        </w:rPr>
        <w:t>448 N.J. Super. 520</w:t>
      </w:r>
      <w:r>
        <w:rPr>
          <w:rFonts w:cs="Times New Roman"/>
        </w:rPr>
        <w:t>, 526</w:t>
      </w:r>
      <w:r w:rsidRPr="00CA1D47">
        <w:rPr>
          <w:rFonts w:cs="Times New Roman"/>
        </w:rPr>
        <w:t xml:space="preserve"> (App. Div. 2017)</w:t>
      </w:r>
      <w:r>
        <w:rPr>
          <w:rFonts w:cs="Times New Roman"/>
        </w:rPr>
        <w:t>.</w:t>
      </w:r>
    </w:p>
  </w:footnote>
  <w:footnote w:id="12">
    <w:p w:rsidR="00E01E40" w:rsidRPr="00FA2023" w:rsidRDefault="00E01E40" w:rsidP="00E01E40">
      <w:pPr>
        <w:pStyle w:val="FootnoteText"/>
      </w:pPr>
      <w:r>
        <w:rPr>
          <w:rStyle w:val="FootnoteReference"/>
        </w:rPr>
        <w:footnoteRef/>
      </w:r>
      <w:r>
        <w:t xml:space="preserve"> </w:t>
      </w:r>
      <w:r>
        <w:rPr>
          <w:i/>
        </w:rPr>
        <w:t xml:space="preserve">Id </w:t>
      </w:r>
      <w:r>
        <w:t>at 526.</w:t>
      </w:r>
    </w:p>
  </w:footnote>
  <w:footnote w:id="13">
    <w:p w:rsidR="00E01E40" w:rsidRDefault="00E01E40" w:rsidP="00E01E40">
      <w:pPr>
        <w:pStyle w:val="FootnoteText"/>
      </w:pPr>
      <w:r>
        <w:rPr>
          <w:rStyle w:val="FootnoteReference"/>
        </w:rPr>
        <w:footnoteRef/>
      </w:r>
      <w:r>
        <w:t xml:space="preserve"> </w:t>
      </w:r>
      <w:r>
        <w:rPr>
          <w:i/>
        </w:rPr>
        <w:t xml:space="preserve">Id </w:t>
      </w:r>
      <w:r>
        <w:t>at 535.</w:t>
      </w:r>
    </w:p>
  </w:footnote>
  <w:footnote w:id="14">
    <w:p w:rsidR="00E01E40" w:rsidRPr="00596283" w:rsidRDefault="00E01E40" w:rsidP="00E01E40">
      <w:pPr>
        <w:pStyle w:val="FootnoteText"/>
        <w:rPr>
          <w:i/>
        </w:rPr>
      </w:pPr>
      <w:r>
        <w:rPr>
          <w:rStyle w:val="FootnoteReference"/>
        </w:rPr>
        <w:footnoteRef/>
      </w:r>
      <w:r>
        <w:t xml:space="preserve"> </w:t>
      </w:r>
      <w:r>
        <w:rPr>
          <w:i/>
        </w:rPr>
        <w:t>Id.</w:t>
      </w:r>
    </w:p>
  </w:footnote>
  <w:footnote w:id="15">
    <w:p w:rsidR="00E01E40" w:rsidRDefault="00E01E40" w:rsidP="00E01E40">
      <w:pPr>
        <w:pStyle w:val="FootnoteText"/>
      </w:pPr>
      <w:r>
        <w:rPr>
          <w:rStyle w:val="FootnoteReference"/>
        </w:rPr>
        <w:footnoteRef/>
      </w:r>
      <w:r>
        <w:t xml:space="preserve"> </w:t>
      </w:r>
      <w:r w:rsidRPr="00CA1D47">
        <w:rPr>
          <w:rFonts w:cs="Times New Roman"/>
          <w:i/>
        </w:rPr>
        <w:t xml:space="preserve">Kean Federation of Teachers v. Morell, </w:t>
      </w:r>
      <w:r w:rsidRPr="00CA1D47">
        <w:rPr>
          <w:rFonts w:cs="Times New Roman"/>
        </w:rPr>
        <w:t>448 N.J. Super. 520</w:t>
      </w:r>
      <w:r>
        <w:rPr>
          <w:rFonts w:cs="Times New Roman"/>
        </w:rPr>
        <w:t>, 531</w:t>
      </w:r>
      <w:r w:rsidRPr="00CA1D47">
        <w:rPr>
          <w:rFonts w:cs="Times New Roman"/>
        </w:rPr>
        <w:t xml:space="preserve"> (App. Div. 2017)</w:t>
      </w:r>
      <w:r>
        <w:rPr>
          <w:rFonts w:cs="Times New Roman"/>
        </w:rPr>
        <w:t>.</w:t>
      </w:r>
    </w:p>
  </w:footnote>
  <w:footnote w:id="16">
    <w:p w:rsidR="00E01E40" w:rsidRPr="00B814D8" w:rsidRDefault="00E01E40" w:rsidP="00E01E40">
      <w:pPr>
        <w:pStyle w:val="FootnoteText"/>
        <w:rPr>
          <w:i/>
        </w:rPr>
      </w:pPr>
      <w:r>
        <w:rPr>
          <w:rStyle w:val="FootnoteReference"/>
        </w:rPr>
        <w:footnoteRef/>
      </w:r>
      <w:r>
        <w:t xml:space="preserve"> </w:t>
      </w:r>
      <w:r>
        <w:rPr>
          <w:i/>
        </w:rPr>
        <w:t>Id.</w:t>
      </w:r>
    </w:p>
  </w:footnote>
  <w:footnote w:id="17">
    <w:p w:rsidR="00E01E40" w:rsidRPr="00B814D8" w:rsidRDefault="00E01E40" w:rsidP="00E01E40">
      <w:pPr>
        <w:pStyle w:val="FootnoteText"/>
        <w:rPr>
          <w:i/>
        </w:rPr>
      </w:pPr>
      <w:r>
        <w:rPr>
          <w:rStyle w:val="FootnoteReference"/>
        </w:rPr>
        <w:footnoteRef/>
      </w:r>
      <w:r>
        <w:t xml:space="preserve"> </w:t>
      </w:r>
      <w:r>
        <w:rPr>
          <w:i/>
        </w:rPr>
        <w:t>Id.</w:t>
      </w:r>
    </w:p>
  </w:footnote>
  <w:footnote w:id="18">
    <w:p w:rsidR="00E01E40" w:rsidRPr="00B814D8" w:rsidRDefault="00E01E40" w:rsidP="00E01E40">
      <w:pPr>
        <w:pStyle w:val="FootnoteText"/>
        <w:rPr>
          <w:i/>
        </w:rPr>
      </w:pPr>
      <w:r>
        <w:rPr>
          <w:rStyle w:val="FootnoteReference"/>
        </w:rPr>
        <w:footnoteRef/>
      </w:r>
      <w:r>
        <w:t xml:space="preserve"> </w:t>
      </w:r>
      <w:r>
        <w:rPr>
          <w:i/>
        </w:rPr>
        <w:t>Id.</w:t>
      </w:r>
    </w:p>
  </w:footnote>
  <w:footnote w:id="19">
    <w:p w:rsidR="00441950" w:rsidRPr="004F1A13" w:rsidRDefault="00441950">
      <w:pPr>
        <w:pStyle w:val="FootnoteText"/>
      </w:pPr>
      <w:r>
        <w:rPr>
          <w:rStyle w:val="FootnoteReference"/>
        </w:rPr>
        <w:footnoteRef/>
      </w:r>
      <w:r>
        <w:t xml:space="preserve"> </w:t>
      </w:r>
      <w:r w:rsidR="004F1A13" w:rsidRPr="00CA1D47">
        <w:rPr>
          <w:rFonts w:cs="Times New Roman"/>
          <w:i/>
        </w:rPr>
        <w:t xml:space="preserve">Kean Federation of Teachers v. Morell, </w:t>
      </w:r>
      <w:r w:rsidR="004F1A13" w:rsidRPr="00CA1D47">
        <w:rPr>
          <w:rFonts w:cs="Times New Roman"/>
        </w:rPr>
        <w:t>448 N.J. Super. 520</w:t>
      </w:r>
      <w:r w:rsidR="004F1A13">
        <w:rPr>
          <w:rFonts w:cs="Times New Roman"/>
        </w:rPr>
        <w:t>, 524</w:t>
      </w:r>
      <w:r w:rsidR="004F1A13" w:rsidRPr="00CA1D47">
        <w:rPr>
          <w:rFonts w:cs="Times New Roman"/>
        </w:rPr>
        <w:t xml:space="preserve"> (App. Div. 2017)</w:t>
      </w:r>
      <w:r w:rsidR="004F1A13">
        <w:rPr>
          <w:rFonts w:cs="Times New Roman"/>
        </w:rPr>
        <w:t>.</w:t>
      </w:r>
    </w:p>
  </w:footnote>
  <w:footnote w:id="20">
    <w:p w:rsidR="00441950" w:rsidRDefault="00441950" w:rsidP="00441950">
      <w:pPr>
        <w:pStyle w:val="FootnoteText"/>
      </w:pPr>
      <w:r>
        <w:rPr>
          <w:rStyle w:val="FootnoteReference"/>
        </w:rPr>
        <w:footnoteRef/>
      </w:r>
      <w:r>
        <w:t xml:space="preserve"> </w:t>
      </w:r>
      <w:r w:rsidRPr="00CA29B6">
        <w:rPr>
          <w:rFonts w:cs="Times New Roman"/>
        </w:rPr>
        <w:t>N.J.S.A. 10:4-12(b) (8)</w:t>
      </w:r>
    </w:p>
  </w:footnote>
  <w:footnote w:id="21">
    <w:p w:rsidR="00FF150E" w:rsidRPr="00FF150E" w:rsidRDefault="00FF150E">
      <w:pPr>
        <w:pStyle w:val="FootnoteText"/>
      </w:pPr>
      <w:r>
        <w:rPr>
          <w:rStyle w:val="FootnoteReference"/>
        </w:rPr>
        <w:footnoteRef/>
      </w:r>
      <w:r>
        <w:t xml:space="preserve"> </w:t>
      </w:r>
      <w:r>
        <w:rPr>
          <w:i/>
        </w:rPr>
        <w:t xml:space="preserve">Id </w:t>
      </w:r>
      <w:r>
        <w:t>at 526.</w:t>
      </w:r>
    </w:p>
  </w:footnote>
  <w:footnote w:id="22">
    <w:p w:rsidR="00FF150E" w:rsidRPr="00FF150E" w:rsidRDefault="00FF150E">
      <w:pPr>
        <w:pStyle w:val="FootnoteText"/>
        <w:rPr>
          <w:i/>
        </w:rPr>
      </w:pPr>
      <w:r>
        <w:rPr>
          <w:rStyle w:val="FootnoteReference"/>
        </w:rPr>
        <w:footnoteRef/>
      </w:r>
      <w:r>
        <w:t xml:space="preserve"> </w:t>
      </w:r>
      <w:r>
        <w:rPr>
          <w:i/>
        </w:rPr>
        <w:t>Id.</w:t>
      </w:r>
    </w:p>
  </w:footnote>
  <w:footnote w:id="23">
    <w:p w:rsidR="0028353A" w:rsidRPr="0028353A" w:rsidRDefault="0028353A">
      <w:pPr>
        <w:pStyle w:val="FootnoteText"/>
      </w:pPr>
      <w:r>
        <w:rPr>
          <w:rStyle w:val="FootnoteReference"/>
        </w:rPr>
        <w:footnoteRef/>
      </w:r>
      <w:r>
        <w:t xml:space="preserve"> </w:t>
      </w:r>
      <w:r w:rsidRPr="0028353A">
        <w:rPr>
          <w:rFonts w:cs="Times New Roman"/>
          <w:i/>
        </w:rPr>
        <w:t xml:space="preserve">Rice v. Union County Regional High School Board of Education, </w:t>
      </w:r>
      <w:r w:rsidRPr="0028353A">
        <w:rPr>
          <w:rFonts w:cs="Times New Roman"/>
        </w:rPr>
        <w:t xml:space="preserve">155 </w:t>
      </w:r>
      <w:r w:rsidRPr="0028353A">
        <w:rPr>
          <w:rFonts w:cs="Times New Roman"/>
          <w:i/>
        </w:rPr>
        <w:t>N.J. Super</w:t>
      </w:r>
      <w:r w:rsidRPr="0028353A">
        <w:rPr>
          <w:rFonts w:cs="Times New Roman"/>
        </w:rPr>
        <w:t>. 64,</w:t>
      </w:r>
      <w:r>
        <w:rPr>
          <w:rFonts w:cs="Times New Roman"/>
        </w:rPr>
        <w:t xml:space="preserve"> 73</w:t>
      </w:r>
      <w:r w:rsidRPr="0028353A">
        <w:rPr>
          <w:rFonts w:cs="Times New Roman"/>
        </w:rPr>
        <w:t xml:space="preserve"> 382 A.2d 386 (App. Div. 1977)</w:t>
      </w:r>
      <w:r>
        <w:rPr>
          <w:rFonts w:cs="Times New Roman"/>
        </w:rPr>
        <w:t>.</w:t>
      </w:r>
    </w:p>
  </w:footnote>
  <w:footnote w:id="24">
    <w:p w:rsidR="0028353A" w:rsidRPr="00596283" w:rsidRDefault="0028353A">
      <w:pPr>
        <w:pStyle w:val="FootnoteText"/>
      </w:pPr>
      <w:r>
        <w:rPr>
          <w:rStyle w:val="FootnoteReference"/>
        </w:rPr>
        <w:footnoteRef/>
      </w:r>
      <w:r>
        <w:t xml:space="preserve"> </w:t>
      </w:r>
      <w:r>
        <w:rPr>
          <w:i/>
        </w:rPr>
        <w:t>Id</w:t>
      </w:r>
      <w:r w:rsidR="00596283">
        <w:rPr>
          <w:i/>
        </w:rPr>
        <w:t xml:space="preserve"> </w:t>
      </w:r>
      <w:r w:rsidR="00596283">
        <w:t>at 73.</w:t>
      </w:r>
    </w:p>
  </w:footnote>
  <w:footnote w:id="25">
    <w:p w:rsidR="00E266B6" w:rsidRDefault="00E266B6">
      <w:pPr>
        <w:pStyle w:val="FootnoteText"/>
      </w:pPr>
      <w:r>
        <w:rPr>
          <w:rStyle w:val="FootnoteReference"/>
        </w:rPr>
        <w:footnoteRef/>
      </w:r>
      <w:r>
        <w:t xml:space="preserve"> </w:t>
      </w:r>
      <w:r w:rsidRPr="00CA1D47">
        <w:rPr>
          <w:rFonts w:cs="Times New Roman"/>
          <w:i/>
        </w:rPr>
        <w:t xml:space="preserve">Kean Federation of Teachers v. Morell, </w:t>
      </w:r>
      <w:r w:rsidRPr="00CA1D47">
        <w:rPr>
          <w:rFonts w:cs="Times New Roman"/>
        </w:rPr>
        <w:t>448 N.J. Super. 520</w:t>
      </w:r>
      <w:r>
        <w:rPr>
          <w:rFonts w:cs="Times New Roman"/>
        </w:rPr>
        <w:t xml:space="preserve">, </w:t>
      </w:r>
      <w:r>
        <w:rPr>
          <w:rFonts w:cs="Times New Roman"/>
        </w:rPr>
        <w:t>540</w:t>
      </w:r>
      <w:r w:rsidRPr="00CA1D47">
        <w:rPr>
          <w:rFonts w:cs="Times New Roman"/>
        </w:rPr>
        <w:t xml:space="preserve"> (App. Div. 2017)</w:t>
      </w:r>
      <w:r>
        <w:rPr>
          <w:rFonts w:cs="Times New Roman"/>
        </w:rPr>
        <w:t>.</w:t>
      </w:r>
    </w:p>
  </w:footnote>
  <w:footnote w:id="26">
    <w:p w:rsidR="00032522" w:rsidRPr="00032522" w:rsidRDefault="00032522">
      <w:pPr>
        <w:pStyle w:val="FootnoteText"/>
      </w:pPr>
      <w:r>
        <w:rPr>
          <w:rStyle w:val="FootnoteReference"/>
        </w:rPr>
        <w:footnoteRef/>
      </w:r>
      <w:r>
        <w:t xml:space="preserve"> </w:t>
      </w:r>
      <w:r>
        <w:rPr>
          <w:i/>
        </w:rPr>
        <w:t>Id.</w:t>
      </w:r>
      <w:r>
        <w:t xml:space="preserve"> at 543.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B7317"/>
    <w:multiLevelType w:val="hybridMultilevel"/>
    <w:tmpl w:val="0F80E808"/>
    <w:lvl w:ilvl="0" w:tplc="4AC60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2A"/>
    <w:rsid w:val="00025D81"/>
    <w:rsid w:val="00032522"/>
    <w:rsid w:val="00060089"/>
    <w:rsid w:val="00066E22"/>
    <w:rsid w:val="00070412"/>
    <w:rsid w:val="00083890"/>
    <w:rsid w:val="000A3EC3"/>
    <w:rsid w:val="000B3114"/>
    <w:rsid w:val="000E5FE4"/>
    <w:rsid w:val="0013481C"/>
    <w:rsid w:val="00142A15"/>
    <w:rsid w:val="00197A57"/>
    <w:rsid w:val="001D6134"/>
    <w:rsid w:val="001E3A2E"/>
    <w:rsid w:val="00211869"/>
    <w:rsid w:val="00211C30"/>
    <w:rsid w:val="00213310"/>
    <w:rsid w:val="002276E7"/>
    <w:rsid w:val="002428BD"/>
    <w:rsid w:val="00247E5A"/>
    <w:rsid w:val="002536DB"/>
    <w:rsid w:val="00255CB9"/>
    <w:rsid w:val="0028353A"/>
    <w:rsid w:val="002D5A9F"/>
    <w:rsid w:val="002E28AF"/>
    <w:rsid w:val="002F41AD"/>
    <w:rsid w:val="003140A3"/>
    <w:rsid w:val="00316B5E"/>
    <w:rsid w:val="00342C71"/>
    <w:rsid w:val="003E272A"/>
    <w:rsid w:val="003F4C3E"/>
    <w:rsid w:val="00402BD1"/>
    <w:rsid w:val="00411264"/>
    <w:rsid w:val="00441950"/>
    <w:rsid w:val="00441DF9"/>
    <w:rsid w:val="004573BA"/>
    <w:rsid w:val="00465C9B"/>
    <w:rsid w:val="00477E48"/>
    <w:rsid w:val="004B0352"/>
    <w:rsid w:val="004D7865"/>
    <w:rsid w:val="004F1A13"/>
    <w:rsid w:val="005177E2"/>
    <w:rsid w:val="00523BE1"/>
    <w:rsid w:val="0053234A"/>
    <w:rsid w:val="00550D20"/>
    <w:rsid w:val="005551B8"/>
    <w:rsid w:val="00564F9E"/>
    <w:rsid w:val="00574E12"/>
    <w:rsid w:val="0057667D"/>
    <w:rsid w:val="00580857"/>
    <w:rsid w:val="00594A72"/>
    <w:rsid w:val="00596283"/>
    <w:rsid w:val="005E0E03"/>
    <w:rsid w:val="005E572A"/>
    <w:rsid w:val="005E7EBD"/>
    <w:rsid w:val="005F1A75"/>
    <w:rsid w:val="005F4BBD"/>
    <w:rsid w:val="00637730"/>
    <w:rsid w:val="00664090"/>
    <w:rsid w:val="00664106"/>
    <w:rsid w:val="00680497"/>
    <w:rsid w:val="006B0039"/>
    <w:rsid w:val="006B740C"/>
    <w:rsid w:val="006E1430"/>
    <w:rsid w:val="00714384"/>
    <w:rsid w:val="0071555D"/>
    <w:rsid w:val="007919B2"/>
    <w:rsid w:val="00792BE7"/>
    <w:rsid w:val="0079307C"/>
    <w:rsid w:val="007A7870"/>
    <w:rsid w:val="007A7D36"/>
    <w:rsid w:val="007B6013"/>
    <w:rsid w:val="007C1496"/>
    <w:rsid w:val="007D3DC1"/>
    <w:rsid w:val="007D6007"/>
    <w:rsid w:val="007F525D"/>
    <w:rsid w:val="00811145"/>
    <w:rsid w:val="00813664"/>
    <w:rsid w:val="00843476"/>
    <w:rsid w:val="00852549"/>
    <w:rsid w:val="00853A15"/>
    <w:rsid w:val="008700D7"/>
    <w:rsid w:val="00872411"/>
    <w:rsid w:val="008A75F6"/>
    <w:rsid w:val="00913422"/>
    <w:rsid w:val="0093442E"/>
    <w:rsid w:val="009623FD"/>
    <w:rsid w:val="009A3449"/>
    <w:rsid w:val="009C7EB3"/>
    <w:rsid w:val="009D7C52"/>
    <w:rsid w:val="009F65A1"/>
    <w:rsid w:val="00A11438"/>
    <w:rsid w:val="00A3128B"/>
    <w:rsid w:val="00A35088"/>
    <w:rsid w:val="00A5203F"/>
    <w:rsid w:val="00AA6386"/>
    <w:rsid w:val="00AC3431"/>
    <w:rsid w:val="00AD6FF7"/>
    <w:rsid w:val="00AE2D06"/>
    <w:rsid w:val="00B06AA2"/>
    <w:rsid w:val="00B24DE4"/>
    <w:rsid w:val="00B26184"/>
    <w:rsid w:val="00B3155F"/>
    <w:rsid w:val="00B44A3B"/>
    <w:rsid w:val="00B814D8"/>
    <w:rsid w:val="00B85772"/>
    <w:rsid w:val="00B93ABE"/>
    <w:rsid w:val="00BD641E"/>
    <w:rsid w:val="00BE4A6B"/>
    <w:rsid w:val="00C16A72"/>
    <w:rsid w:val="00C177EB"/>
    <w:rsid w:val="00C62373"/>
    <w:rsid w:val="00C91EC6"/>
    <w:rsid w:val="00CA1D47"/>
    <w:rsid w:val="00CA29B6"/>
    <w:rsid w:val="00CA6B90"/>
    <w:rsid w:val="00CD37AD"/>
    <w:rsid w:val="00D112DE"/>
    <w:rsid w:val="00D7083B"/>
    <w:rsid w:val="00D80F8C"/>
    <w:rsid w:val="00DC3954"/>
    <w:rsid w:val="00DD1F37"/>
    <w:rsid w:val="00DF5058"/>
    <w:rsid w:val="00DF5E27"/>
    <w:rsid w:val="00E01E40"/>
    <w:rsid w:val="00E266B6"/>
    <w:rsid w:val="00E32D2F"/>
    <w:rsid w:val="00E40664"/>
    <w:rsid w:val="00E524DD"/>
    <w:rsid w:val="00ED760E"/>
    <w:rsid w:val="00F41942"/>
    <w:rsid w:val="00F464E2"/>
    <w:rsid w:val="00F52554"/>
    <w:rsid w:val="00F7321E"/>
    <w:rsid w:val="00F73853"/>
    <w:rsid w:val="00FA2023"/>
    <w:rsid w:val="00FA73B5"/>
    <w:rsid w:val="00FD24EC"/>
    <w:rsid w:val="00FF150E"/>
    <w:rsid w:val="00FF3332"/>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5289B-A668-48F5-BF13-EEB40343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2A"/>
    <w:pPr>
      <w:spacing w:after="0" w:line="240" w:lineRule="auto"/>
    </w:pPr>
    <w:rPr>
      <w:rFonts w:asciiTheme="minorHAnsi" w:hAnsiTheme="minorHAnsi" w:cstheme="minorBidi"/>
      <w:b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72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E572A"/>
    <w:rPr>
      <w:rFonts w:cstheme="minorBidi"/>
      <w:b w:val="0"/>
      <w:sz w:val="20"/>
      <w:szCs w:val="20"/>
    </w:rPr>
  </w:style>
  <w:style w:type="character" w:styleId="FootnoteReference">
    <w:name w:val="footnote reference"/>
    <w:basedOn w:val="DefaultParagraphFont"/>
    <w:uiPriority w:val="99"/>
    <w:semiHidden/>
    <w:unhideWhenUsed/>
    <w:rsid w:val="005E572A"/>
    <w:rPr>
      <w:rFonts w:ascii="Times New Roman" w:hAnsi="Times New Roman"/>
      <w:vertAlign w:val="superscript"/>
    </w:rPr>
  </w:style>
  <w:style w:type="paragraph" w:styleId="Footer">
    <w:name w:val="footer"/>
    <w:basedOn w:val="Normal"/>
    <w:link w:val="FooterChar"/>
    <w:uiPriority w:val="99"/>
    <w:unhideWhenUsed/>
    <w:rsid w:val="005E572A"/>
    <w:pPr>
      <w:tabs>
        <w:tab w:val="center" w:pos="4680"/>
        <w:tab w:val="right" w:pos="9360"/>
      </w:tabs>
    </w:pPr>
  </w:style>
  <w:style w:type="character" w:customStyle="1" w:styleId="FooterChar">
    <w:name w:val="Footer Char"/>
    <w:basedOn w:val="DefaultParagraphFont"/>
    <w:link w:val="Footer"/>
    <w:uiPriority w:val="99"/>
    <w:rsid w:val="005E572A"/>
    <w:rPr>
      <w:rFonts w:asciiTheme="minorHAnsi" w:hAnsiTheme="minorHAnsi" w:cstheme="minorBidi"/>
      <w:b w:val="0"/>
      <w:sz w:val="22"/>
      <w:szCs w:val="22"/>
    </w:rPr>
  </w:style>
  <w:style w:type="paragraph" w:styleId="Header">
    <w:name w:val="header"/>
    <w:basedOn w:val="Normal"/>
    <w:link w:val="HeaderChar"/>
    <w:uiPriority w:val="99"/>
    <w:unhideWhenUsed/>
    <w:rsid w:val="002536DB"/>
    <w:pPr>
      <w:tabs>
        <w:tab w:val="center" w:pos="4680"/>
        <w:tab w:val="right" w:pos="9360"/>
      </w:tabs>
    </w:pPr>
  </w:style>
  <w:style w:type="character" w:customStyle="1" w:styleId="HeaderChar">
    <w:name w:val="Header Char"/>
    <w:basedOn w:val="DefaultParagraphFont"/>
    <w:link w:val="Header"/>
    <w:uiPriority w:val="99"/>
    <w:rsid w:val="002536DB"/>
    <w:rPr>
      <w:rFonts w:asciiTheme="minorHAnsi" w:hAnsiTheme="minorHAnsi" w:cstheme="minorBidi"/>
      <w:b w:val="0"/>
      <w:sz w:val="22"/>
      <w:szCs w:val="22"/>
    </w:rPr>
  </w:style>
  <w:style w:type="character" w:styleId="Hyperlink">
    <w:name w:val="Hyperlink"/>
    <w:basedOn w:val="DefaultParagraphFont"/>
    <w:uiPriority w:val="99"/>
    <w:semiHidden/>
    <w:unhideWhenUsed/>
    <w:rsid w:val="00402BD1"/>
    <w:rPr>
      <w:color w:val="0000FF"/>
      <w:u w:val="single"/>
    </w:rPr>
  </w:style>
  <w:style w:type="paragraph" w:styleId="ListParagraph">
    <w:name w:val="List Paragraph"/>
    <w:basedOn w:val="Normal"/>
    <w:uiPriority w:val="34"/>
    <w:qFormat/>
    <w:rsid w:val="00211C30"/>
    <w:pPr>
      <w:ind w:left="720"/>
      <w:contextualSpacing/>
    </w:pPr>
  </w:style>
  <w:style w:type="paragraph" w:styleId="BalloonText">
    <w:name w:val="Balloon Text"/>
    <w:basedOn w:val="Normal"/>
    <w:link w:val="BalloonTextChar"/>
    <w:uiPriority w:val="99"/>
    <w:semiHidden/>
    <w:unhideWhenUsed/>
    <w:rsid w:val="001E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2E"/>
    <w:rPr>
      <w:rFonts w:ascii="Segoe U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175">
      <w:bodyDiv w:val="1"/>
      <w:marLeft w:val="0"/>
      <w:marRight w:val="0"/>
      <w:marTop w:val="0"/>
      <w:marBottom w:val="0"/>
      <w:divBdr>
        <w:top w:val="none" w:sz="0" w:space="0" w:color="auto"/>
        <w:left w:val="none" w:sz="0" w:space="0" w:color="auto"/>
        <w:bottom w:val="none" w:sz="0" w:space="0" w:color="auto"/>
        <w:right w:val="none" w:sz="0" w:space="0" w:color="auto"/>
      </w:divBdr>
    </w:div>
    <w:div w:id="318316942">
      <w:bodyDiv w:val="1"/>
      <w:marLeft w:val="0"/>
      <w:marRight w:val="0"/>
      <w:marTop w:val="0"/>
      <w:marBottom w:val="0"/>
      <w:divBdr>
        <w:top w:val="none" w:sz="0" w:space="0" w:color="auto"/>
        <w:left w:val="none" w:sz="0" w:space="0" w:color="auto"/>
        <w:bottom w:val="none" w:sz="0" w:space="0" w:color="auto"/>
        <w:right w:val="none" w:sz="0" w:space="0" w:color="auto"/>
      </w:divBdr>
    </w:div>
    <w:div w:id="1335261844">
      <w:bodyDiv w:val="1"/>
      <w:marLeft w:val="0"/>
      <w:marRight w:val="0"/>
      <w:marTop w:val="0"/>
      <w:marBottom w:val="0"/>
      <w:divBdr>
        <w:top w:val="none" w:sz="0" w:space="0" w:color="auto"/>
        <w:left w:val="none" w:sz="0" w:space="0" w:color="auto"/>
        <w:bottom w:val="none" w:sz="0" w:space="0" w:color="auto"/>
        <w:right w:val="none" w:sz="0" w:space="0" w:color="auto"/>
      </w:divBdr>
    </w:div>
    <w:div w:id="1356804973">
      <w:bodyDiv w:val="1"/>
      <w:marLeft w:val="0"/>
      <w:marRight w:val="0"/>
      <w:marTop w:val="0"/>
      <w:marBottom w:val="0"/>
      <w:divBdr>
        <w:top w:val="none" w:sz="0" w:space="0" w:color="auto"/>
        <w:left w:val="none" w:sz="0" w:space="0" w:color="auto"/>
        <w:bottom w:val="none" w:sz="0" w:space="0" w:color="auto"/>
        <w:right w:val="none" w:sz="0" w:space="0" w:color="auto"/>
      </w:divBdr>
    </w:div>
    <w:div w:id="1488785973">
      <w:bodyDiv w:val="1"/>
      <w:marLeft w:val="0"/>
      <w:marRight w:val="0"/>
      <w:marTop w:val="0"/>
      <w:marBottom w:val="0"/>
      <w:divBdr>
        <w:top w:val="none" w:sz="0" w:space="0" w:color="auto"/>
        <w:left w:val="none" w:sz="0" w:space="0" w:color="auto"/>
        <w:bottom w:val="none" w:sz="0" w:space="0" w:color="auto"/>
        <w:right w:val="none" w:sz="0" w:space="0" w:color="auto"/>
      </w:divBdr>
    </w:div>
    <w:div w:id="1509061053">
      <w:bodyDiv w:val="1"/>
      <w:marLeft w:val="0"/>
      <w:marRight w:val="0"/>
      <w:marTop w:val="0"/>
      <w:marBottom w:val="0"/>
      <w:divBdr>
        <w:top w:val="none" w:sz="0" w:space="0" w:color="auto"/>
        <w:left w:val="none" w:sz="0" w:space="0" w:color="auto"/>
        <w:bottom w:val="none" w:sz="0" w:space="0" w:color="auto"/>
        <w:right w:val="none" w:sz="0" w:space="0" w:color="auto"/>
      </w:divBdr>
      <w:divsChild>
        <w:div w:id="630522412">
          <w:marLeft w:val="0"/>
          <w:marRight w:val="0"/>
          <w:marTop w:val="240"/>
          <w:marBottom w:val="0"/>
          <w:divBdr>
            <w:top w:val="none" w:sz="0" w:space="0" w:color="auto"/>
            <w:left w:val="none" w:sz="0" w:space="0" w:color="auto"/>
            <w:bottom w:val="none" w:sz="0" w:space="0" w:color="auto"/>
            <w:right w:val="none" w:sz="0" w:space="0" w:color="auto"/>
          </w:divBdr>
          <w:divsChild>
            <w:div w:id="621036353">
              <w:marLeft w:val="0"/>
              <w:marRight w:val="0"/>
              <w:marTop w:val="0"/>
              <w:marBottom w:val="0"/>
              <w:divBdr>
                <w:top w:val="none" w:sz="0" w:space="0" w:color="auto"/>
                <w:left w:val="none" w:sz="0" w:space="0" w:color="auto"/>
                <w:bottom w:val="none" w:sz="0" w:space="0" w:color="auto"/>
                <w:right w:val="none" w:sz="0" w:space="0" w:color="auto"/>
              </w:divBdr>
              <w:divsChild>
                <w:div w:id="18058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419">
          <w:marLeft w:val="0"/>
          <w:marRight w:val="0"/>
          <w:marTop w:val="240"/>
          <w:marBottom w:val="0"/>
          <w:divBdr>
            <w:top w:val="none" w:sz="0" w:space="0" w:color="auto"/>
            <w:left w:val="none" w:sz="0" w:space="0" w:color="auto"/>
            <w:bottom w:val="none" w:sz="0" w:space="0" w:color="auto"/>
            <w:right w:val="none" w:sz="0" w:space="0" w:color="auto"/>
          </w:divBdr>
          <w:divsChild>
            <w:div w:id="1673683599">
              <w:marLeft w:val="0"/>
              <w:marRight w:val="0"/>
              <w:marTop w:val="0"/>
              <w:marBottom w:val="0"/>
              <w:divBdr>
                <w:top w:val="none" w:sz="0" w:space="0" w:color="auto"/>
                <w:left w:val="none" w:sz="0" w:space="0" w:color="auto"/>
                <w:bottom w:val="none" w:sz="0" w:space="0" w:color="auto"/>
                <w:right w:val="none" w:sz="0" w:space="0" w:color="auto"/>
              </w:divBdr>
              <w:divsChild>
                <w:div w:id="8506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69456">
      <w:bodyDiv w:val="1"/>
      <w:marLeft w:val="0"/>
      <w:marRight w:val="0"/>
      <w:marTop w:val="0"/>
      <w:marBottom w:val="0"/>
      <w:divBdr>
        <w:top w:val="none" w:sz="0" w:space="0" w:color="auto"/>
        <w:left w:val="none" w:sz="0" w:space="0" w:color="auto"/>
        <w:bottom w:val="none" w:sz="0" w:space="0" w:color="auto"/>
        <w:right w:val="none" w:sz="0" w:space="0" w:color="auto"/>
      </w:divBdr>
    </w:div>
    <w:div w:id="1780221696">
      <w:bodyDiv w:val="1"/>
      <w:marLeft w:val="0"/>
      <w:marRight w:val="0"/>
      <w:marTop w:val="0"/>
      <w:marBottom w:val="0"/>
      <w:divBdr>
        <w:top w:val="none" w:sz="0" w:space="0" w:color="auto"/>
        <w:left w:val="none" w:sz="0" w:space="0" w:color="auto"/>
        <w:bottom w:val="none" w:sz="0" w:space="0" w:color="auto"/>
        <w:right w:val="none" w:sz="0" w:space="0" w:color="auto"/>
      </w:divBdr>
    </w:div>
    <w:div w:id="2071074214">
      <w:bodyDiv w:val="1"/>
      <w:marLeft w:val="0"/>
      <w:marRight w:val="0"/>
      <w:marTop w:val="0"/>
      <w:marBottom w:val="0"/>
      <w:divBdr>
        <w:top w:val="none" w:sz="0" w:space="0" w:color="auto"/>
        <w:left w:val="none" w:sz="0" w:space="0" w:color="auto"/>
        <w:bottom w:val="none" w:sz="0" w:space="0" w:color="auto"/>
        <w:right w:val="none" w:sz="0" w:space="0" w:color="auto"/>
      </w:divBdr>
    </w:div>
    <w:div w:id="2084445930">
      <w:bodyDiv w:val="1"/>
      <w:marLeft w:val="0"/>
      <w:marRight w:val="0"/>
      <w:marTop w:val="0"/>
      <w:marBottom w:val="0"/>
      <w:divBdr>
        <w:top w:val="none" w:sz="0" w:space="0" w:color="auto"/>
        <w:left w:val="none" w:sz="0" w:space="0" w:color="auto"/>
        <w:bottom w:val="none" w:sz="0" w:space="0" w:color="auto"/>
        <w:right w:val="none" w:sz="0" w:space="0" w:color="auto"/>
      </w:divBdr>
      <w:divsChild>
        <w:div w:id="138108698">
          <w:marLeft w:val="0"/>
          <w:marRight w:val="0"/>
          <w:marTop w:val="0"/>
          <w:marBottom w:val="0"/>
          <w:divBdr>
            <w:top w:val="none" w:sz="0" w:space="0" w:color="auto"/>
            <w:left w:val="none" w:sz="0" w:space="0" w:color="auto"/>
            <w:bottom w:val="none" w:sz="0" w:space="0" w:color="auto"/>
            <w:right w:val="none" w:sz="0" w:space="0" w:color="auto"/>
          </w:divBdr>
        </w:div>
        <w:div w:id="787361735">
          <w:marLeft w:val="0"/>
          <w:marRight w:val="0"/>
          <w:marTop w:val="240"/>
          <w:marBottom w:val="0"/>
          <w:divBdr>
            <w:top w:val="none" w:sz="0" w:space="0" w:color="auto"/>
            <w:left w:val="none" w:sz="0" w:space="0" w:color="auto"/>
            <w:bottom w:val="none" w:sz="0" w:space="0" w:color="auto"/>
            <w:right w:val="none" w:sz="0" w:space="0" w:color="auto"/>
          </w:divBdr>
          <w:divsChild>
            <w:div w:id="2050228479">
              <w:marLeft w:val="0"/>
              <w:marRight w:val="0"/>
              <w:marTop w:val="0"/>
              <w:marBottom w:val="0"/>
              <w:divBdr>
                <w:top w:val="none" w:sz="0" w:space="0" w:color="auto"/>
                <w:left w:val="none" w:sz="0" w:space="0" w:color="auto"/>
                <w:bottom w:val="none" w:sz="0" w:space="0" w:color="auto"/>
                <w:right w:val="none" w:sz="0" w:space="0" w:color="auto"/>
              </w:divBdr>
            </w:div>
          </w:divsChild>
        </w:div>
        <w:div w:id="111823586">
          <w:marLeft w:val="0"/>
          <w:marRight w:val="0"/>
          <w:marTop w:val="240"/>
          <w:marBottom w:val="0"/>
          <w:divBdr>
            <w:top w:val="none" w:sz="0" w:space="0" w:color="auto"/>
            <w:left w:val="none" w:sz="0" w:space="0" w:color="auto"/>
            <w:bottom w:val="none" w:sz="0" w:space="0" w:color="auto"/>
            <w:right w:val="none" w:sz="0" w:space="0" w:color="auto"/>
          </w:divBdr>
          <w:divsChild>
            <w:div w:id="625042973">
              <w:marLeft w:val="0"/>
              <w:marRight w:val="0"/>
              <w:marTop w:val="0"/>
              <w:marBottom w:val="0"/>
              <w:divBdr>
                <w:top w:val="none" w:sz="0" w:space="0" w:color="auto"/>
                <w:left w:val="none" w:sz="0" w:space="0" w:color="auto"/>
                <w:bottom w:val="none" w:sz="0" w:space="0" w:color="auto"/>
                <w:right w:val="none" w:sz="0" w:space="0" w:color="auto"/>
              </w:divBdr>
              <w:divsChild>
                <w:div w:id="17784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3459">
          <w:marLeft w:val="0"/>
          <w:marRight w:val="0"/>
          <w:marTop w:val="240"/>
          <w:marBottom w:val="0"/>
          <w:divBdr>
            <w:top w:val="none" w:sz="0" w:space="0" w:color="auto"/>
            <w:left w:val="none" w:sz="0" w:space="0" w:color="auto"/>
            <w:bottom w:val="none" w:sz="0" w:space="0" w:color="auto"/>
            <w:right w:val="none" w:sz="0" w:space="0" w:color="auto"/>
          </w:divBdr>
          <w:divsChild>
            <w:div w:id="378867104">
              <w:marLeft w:val="0"/>
              <w:marRight w:val="0"/>
              <w:marTop w:val="0"/>
              <w:marBottom w:val="0"/>
              <w:divBdr>
                <w:top w:val="none" w:sz="0" w:space="0" w:color="auto"/>
                <w:left w:val="none" w:sz="0" w:space="0" w:color="auto"/>
                <w:bottom w:val="none" w:sz="0" w:space="0" w:color="auto"/>
                <w:right w:val="none" w:sz="0" w:space="0" w:color="auto"/>
              </w:divBdr>
              <w:divsChild>
                <w:div w:id="17420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549">
          <w:marLeft w:val="0"/>
          <w:marRight w:val="0"/>
          <w:marTop w:val="240"/>
          <w:marBottom w:val="0"/>
          <w:divBdr>
            <w:top w:val="none" w:sz="0" w:space="0" w:color="auto"/>
            <w:left w:val="none" w:sz="0" w:space="0" w:color="auto"/>
            <w:bottom w:val="none" w:sz="0" w:space="0" w:color="auto"/>
            <w:right w:val="none" w:sz="0" w:space="0" w:color="auto"/>
          </w:divBdr>
          <w:divsChild>
            <w:div w:id="1833375289">
              <w:marLeft w:val="0"/>
              <w:marRight w:val="0"/>
              <w:marTop w:val="0"/>
              <w:marBottom w:val="0"/>
              <w:divBdr>
                <w:top w:val="none" w:sz="0" w:space="0" w:color="auto"/>
                <w:left w:val="none" w:sz="0" w:space="0" w:color="auto"/>
                <w:bottom w:val="none" w:sz="0" w:space="0" w:color="auto"/>
                <w:right w:val="none" w:sz="0" w:space="0" w:color="auto"/>
              </w:divBdr>
              <w:divsChild>
                <w:div w:id="7842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445">
          <w:marLeft w:val="0"/>
          <w:marRight w:val="0"/>
          <w:marTop w:val="240"/>
          <w:marBottom w:val="0"/>
          <w:divBdr>
            <w:top w:val="none" w:sz="0" w:space="0" w:color="auto"/>
            <w:left w:val="none" w:sz="0" w:space="0" w:color="auto"/>
            <w:bottom w:val="none" w:sz="0" w:space="0" w:color="auto"/>
            <w:right w:val="none" w:sz="0" w:space="0" w:color="auto"/>
          </w:divBdr>
          <w:divsChild>
            <w:div w:id="370033381">
              <w:marLeft w:val="0"/>
              <w:marRight w:val="0"/>
              <w:marTop w:val="0"/>
              <w:marBottom w:val="0"/>
              <w:divBdr>
                <w:top w:val="none" w:sz="0" w:space="0" w:color="auto"/>
                <w:left w:val="none" w:sz="0" w:space="0" w:color="auto"/>
                <w:bottom w:val="none" w:sz="0" w:space="0" w:color="auto"/>
                <w:right w:val="none" w:sz="0" w:space="0" w:color="auto"/>
              </w:divBdr>
              <w:divsChild>
                <w:div w:id="12158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557">
          <w:marLeft w:val="0"/>
          <w:marRight w:val="0"/>
          <w:marTop w:val="240"/>
          <w:marBottom w:val="0"/>
          <w:divBdr>
            <w:top w:val="none" w:sz="0" w:space="0" w:color="auto"/>
            <w:left w:val="none" w:sz="0" w:space="0" w:color="auto"/>
            <w:bottom w:val="none" w:sz="0" w:space="0" w:color="auto"/>
            <w:right w:val="none" w:sz="0" w:space="0" w:color="auto"/>
          </w:divBdr>
          <w:divsChild>
            <w:div w:id="1851068432">
              <w:marLeft w:val="0"/>
              <w:marRight w:val="0"/>
              <w:marTop w:val="0"/>
              <w:marBottom w:val="0"/>
              <w:divBdr>
                <w:top w:val="none" w:sz="0" w:space="0" w:color="auto"/>
                <w:left w:val="none" w:sz="0" w:space="0" w:color="auto"/>
                <w:bottom w:val="none" w:sz="0" w:space="0" w:color="auto"/>
                <w:right w:val="none" w:sz="0" w:space="0" w:color="auto"/>
              </w:divBdr>
              <w:divsChild>
                <w:div w:id="11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8441">
          <w:marLeft w:val="0"/>
          <w:marRight w:val="0"/>
          <w:marTop w:val="240"/>
          <w:marBottom w:val="0"/>
          <w:divBdr>
            <w:top w:val="none" w:sz="0" w:space="0" w:color="auto"/>
            <w:left w:val="none" w:sz="0" w:space="0" w:color="auto"/>
            <w:bottom w:val="none" w:sz="0" w:space="0" w:color="auto"/>
            <w:right w:val="none" w:sz="0" w:space="0" w:color="auto"/>
          </w:divBdr>
          <w:divsChild>
            <w:div w:id="421798479">
              <w:marLeft w:val="0"/>
              <w:marRight w:val="0"/>
              <w:marTop w:val="0"/>
              <w:marBottom w:val="0"/>
              <w:divBdr>
                <w:top w:val="none" w:sz="0" w:space="0" w:color="auto"/>
                <w:left w:val="none" w:sz="0" w:space="0" w:color="auto"/>
                <w:bottom w:val="none" w:sz="0" w:space="0" w:color="auto"/>
                <w:right w:val="none" w:sz="0" w:space="0" w:color="auto"/>
              </w:divBdr>
              <w:divsChild>
                <w:div w:id="16826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2979">
          <w:marLeft w:val="0"/>
          <w:marRight w:val="0"/>
          <w:marTop w:val="240"/>
          <w:marBottom w:val="0"/>
          <w:divBdr>
            <w:top w:val="none" w:sz="0" w:space="0" w:color="auto"/>
            <w:left w:val="none" w:sz="0" w:space="0" w:color="auto"/>
            <w:bottom w:val="none" w:sz="0" w:space="0" w:color="auto"/>
            <w:right w:val="none" w:sz="0" w:space="0" w:color="auto"/>
          </w:divBdr>
          <w:divsChild>
            <w:div w:id="2070810553">
              <w:marLeft w:val="0"/>
              <w:marRight w:val="0"/>
              <w:marTop w:val="0"/>
              <w:marBottom w:val="0"/>
              <w:divBdr>
                <w:top w:val="none" w:sz="0" w:space="0" w:color="auto"/>
                <w:left w:val="none" w:sz="0" w:space="0" w:color="auto"/>
                <w:bottom w:val="none" w:sz="0" w:space="0" w:color="auto"/>
                <w:right w:val="none" w:sz="0" w:space="0" w:color="auto"/>
              </w:divBdr>
              <w:divsChild>
                <w:div w:id="15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6037">
          <w:marLeft w:val="0"/>
          <w:marRight w:val="0"/>
          <w:marTop w:val="240"/>
          <w:marBottom w:val="0"/>
          <w:divBdr>
            <w:top w:val="none" w:sz="0" w:space="0" w:color="auto"/>
            <w:left w:val="none" w:sz="0" w:space="0" w:color="auto"/>
            <w:bottom w:val="none" w:sz="0" w:space="0" w:color="auto"/>
            <w:right w:val="none" w:sz="0" w:space="0" w:color="auto"/>
          </w:divBdr>
          <w:divsChild>
            <w:div w:id="1267234250">
              <w:marLeft w:val="0"/>
              <w:marRight w:val="0"/>
              <w:marTop w:val="0"/>
              <w:marBottom w:val="0"/>
              <w:divBdr>
                <w:top w:val="none" w:sz="0" w:space="0" w:color="auto"/>
                <w:left w:val="none" w:sz="0" w:space="0" w:color="auto"/>
                <w:bottom w:val="none" w:sz="0" w:space="0" w:color="auto"/>
                <w:right w:val="none" w:sz="0" w:space="0" w:color="auto"/>
              </w:divBdr>
              <w:divsChild>
                <w:div w:id="6281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0420">
          <w:marLeft w:val="0"/>
          <w:marRight w:val="0"/>
          <w:marTop w:val="240"/>
          <w:marBottom w:val="0"/>
          <w:divBdr>
            <w:top w:val="none" w:sz="0" w:space="0" w:color="auto"/>
            <w:left w:val="none" w:sz="0" w:space="0" w:color="auto"/>
            <w:bottom w:val="none" w:sz="0" w:space="0" w:color="auto"/>
            <w:right w:val="none" w:sz="0" w:space="0" w:color="auto"/>
          </w:divBdr>
          <w:divsChild>
            <w:div w:id="623735346">
              <w:marLeft w:val="0"/>
              <w:marRight w:val="0"/>
              <w:marTop w:val="0"/>
              <w:marBottom w:val="0"/>
              <w:divBdr>
                <w:top w:val="none" w:sz="0" w:space="0" w:color="auto"/>
                <w:left w:val="none" w:sz="0" w:space="0" w:color="auto"/>
                <w:bottom w:val="none" w:sz="0" w:space="0" w:color="auto"/>
                <w:right w:val="none" w:sz="0" w:space="0" w:color="auto"/>
              </w:divBdr>
              <w:divsChild>
                <w:div w:id="3780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1240">
          <w:marLeft w:val="0"/>
          <w:marRight w:val="0"/>
          <w:marTop w:val="240"/>
          <w:marBottom w:val="0"/>
          <w:divBdr>
            <w:top w:val="none" w:sz="0" w:space="0" w:color="auto"/>
            <w:left w:val="none" w:sz="0" w:space="0" w:color="auto"/>
            <w:bottom w:val="none" w:sz="0" w:space="0" w:color="auto"/>
            <w:right w:val="none" w:sz="0" w:space="0" w:color="auto"/>
          </w:divBdr>
          <w:divsChild>
            <w:div w:id="535429778">
              <w:marLeft w:val="0"/>
              <w:marRight w:val="0"/>
              <w:marTop w:val="0"/>
              <w:marBottom w:val="0"/>
              <w:divBdr>
                <w:top w:val="none" w:sz="0" w:space="0" w:color="auto"/>
                <w:left w:val="none" w:sz="0" w:space="0" w:color="auto"/>
                <w:bottom w:val="none" w:sz="0" w:space="0" w:color="auto"/>
                <w:right w:val="none" w:sz="0" w:space="0" w:color="auto"/>
              </w:divBdr>
              <w:divsChild>
                <w:div w:id="11670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39">
          <w:marLeft w:val="0"/>
          <w:marRight w:val="0"/>
          <w:marTop w:val="240"/>
          <w:marBottom w:val="0"/>
          <w:divBdr>
            <w:top w:val="none" w:sz="0" w:space="0" w:color="auto"/>
            <w:left w:val="none" w:sz="0" w:space="0" w:color="auto"/>
            <w:bottom w:val="none" w:sz="0" w:space="0" w:color="auto"/>
            <w:right w:val="none" w:sz="0" w:space="0" w:color="auto"/>
          </w:divBdr>
          <w:divsChild>
            <w:div w:id="1167096430">
              <w:marLeft w:val="0"/>
              <w:marRight w:val="0"/>
              <w:marTop w:val="0"/>
              <w:marBottom w:val="0"/>
              <w:divBdr>
                <w:top w:val="none" w:sz="0" w:space="0" w:color="auto"/>
                <w:left w:val="none" w:sz="0" w:space="0" w:color="auto"/>
                <w:bottom w:val="none" w:sz="0" w:space="0" w:color="auto"/>
                <w:right w:val="none" w:sz="0" w:space="0" w:color="auto"/>
              </w:divBdr>
              <w:divsChild>
                <w:div w:id="621615805">
                  <w:marLeft w:val="0"/>
                  <w:marRight w:val="0"/>
                  <w:marTop w:val="0"/>
                  <w:marBottom w:val="0"/>
                  <w:divBdr>
                    <w:top w:val="none" w:sz="0" w:space="0" w:color="auto"/>
                    <w:left w:val="none" w:sz="0" w:space="0" w:color="auto"/>
                    <w:bottom w:val="none" w:sz="0" w:space="0" w:color="auto"/>
                    <w:right w:val="none" w:sz="0" w:space="0" w:color="auto"/>
                  </w:divBdr>
                </w:div>
              </w:divsChild>
            </w:div>
            <w:div w:id="1893615810">
              <w:marLeft w:val="0"/>
              <w:marRight w:val="0"/>
              <w:marTop w:val="240"/>
              <w:marBottom w:val="0"/>
              <w:divBdr>
                <w:top w:val="none" w:sz="0" w:space="0" w:color="auto"/>
                <w:left w:val="none" w:sz="0" w:space="0" w:color="auto"/>
                <w:bottom w:val="none" w:sz="0" w:space="0" w:color="auto"/>
                <w:right w:val="none" w:sz="0" w:space="0" w:color="auto"/>
              </w:divBdr>
              <w:divsChild>
                <w:div w:id="18023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9236-6D23-4A7F-9822-69FEFC69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Clerk3</dc:creator>
  <cp:lastModifiedBy>Laura Tharney</cp:lastModifiedBy>
  <cp:revision>16</cp:revision>
  <cp:lastPrinted>2017-12-21T21:08:00Z</cp:lastPrinted>
  <dcterms:created xsi:type="dcterms:W3CDTF">2018-02-02T18:39:00Z</dcterms:created>
  <dcterms:modified xsi:type="dcterms:W3CDTF">2018-02-02T19:38:00Z</dcterms:modified>
</cp:coreProperties>
</file>