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72A" w:rsidRDefault="005E572A" w:rsidP="00FD24EC">
      <w:pPr>
        <w:rPr>
          <w:rFonts w:ascii="Times New Roman" w:hAnsi="Times New Roman" w:cs="Times New Roman"/>
          <w:b/>
          <w:sz w:val="24"/>
          <w:szCs w:val="24"/>
        </w:rPr>
      </w:pPr>
      <w:r>
        <w:rPr>
          <w:rFonts w:ascii="Times New Roman" w:hAnsi="Times New Roman" w:cs="Times New Roman"/>
          <w:b/>
          <w:sz w:val="24"/>
          <w:szCs w:val="24"/>
        </w:rPr>
        <w:t>To:</w:t>
      </w:r>
      <w:r>
        <w:rPr>
          <w:rFonts w:ascii="Times New Roman" w:hAnsi="Times New Roman" w:cs="Times New Roman"/>
          <w:b/>
          <w:sz w:val="24"/>
          <w:szCs w:val="24"/>
        </w:rPr>
        <w:tab/>
      </w:r>
      <w:r w:rsidR="005F1A75">
        <w:rPr>
          <w:rFonts w:ascii="Times New Roman" w:hAnsi="Times New Roman" w:cs="Times New Roman"/>
          <w:b/>
          <w:sz w:val="24"/>
          <w:szCs w:val="24"/>
        </w:rPr>
        <w:t>New Jersey Law Revision Commission</w:t>
      </w:r>
    </w:p>
    <w:p w:rsidR="005E572A" w:rsidRDefault="005E572A" w:rsidP="00FD24EC">
      <w:pPr>
        <w:rPr>
          <w:rFonts w:ascii="Times New Roman" w:hAnsi="Times New Roman" w:cs="Times New Roman"/>
          <w:b/>
          <w:sz w:val="24"/>
          <w:szCs w:val="24"/>
        </w:rPr>
      </w:pPr>
      <w:r>
        <w:rPr>
          <w:rFonts w:ascii="Times New Roman" w:hAnsi="Times New Roman" w:cs="Times New Roman"/>
          <w:b/>
          <w:sz w:val="24"/>
          <w:szCs w:val="24"/>
        </w:rPr>
        <w:t>From:</w:t>
      </w:r>
      <w:r>
        <w:rPr>
          <w:rFonts w:ascii="Times New Roman" w:hAnsi="Times New Roman" w:cs="Times New Roman"/>
          <w:b/>
          <w:sz w:val="24"/>
          <w:szCs w:val="24"/>
        </w:rPr>
        <w:tab/>
      </w:r>
      <w:r w:rsidR="002F41AD">
        <w:rPr>
          <w:rFonts w:ascii="Times New Roman" w:hAnsi="Times New Roman" w:cs="Times New Roman"/>
          <w:b/>
          <w:sz w:val="24"/>
          <w:szCs w:val="24"/>
        </w:rPr>
        <w:t>Renee Wilson</w:t>
      </w:r>
    </w:p>
    <w:p w:rsidR="005E572A" w:rsidRDefault="005E572A" w:rsidP="009623FD">
      <w:pPr>
        <w:rPr>
          <w:rFonts w:ascii="Times New Roman" w:hAnsi="Times New Roman" w:cs="Times New Roman"/>
          <w:b/>
          <w:sz w:val="24"/>
          <w:szCs w:val="24"/>
        </w:rPr>
      </w:pPr>
      <w:r>
        <w:rPr>
          <w:rFonts w:ascii="Times New Roman" w:hAnsi="Times New Roman" w:cs="Times New Roman"/>
          <w:b/>
          <w:sz w:val="24"/>
          <w:szCs w:val="24"/>
        </w:rPr>
        <w:t>Re:</w:t>
      </w:r>
      <w:r>
        <w:rPr>
          <w:rFonts w:ascii="Times New Roman" w:hAnsi="Times New Roman" w:cs="Times New Roman"/>
          <w:b/>
          <w:sz w:val="24"/>
          <w:szCs w:val="24"/>
        </w:rPr>
        <w:tab/>
      </w:r>
      <w:r w:rsidR="00F52554">
        <w:rPr>
          <w:rFonts w:ascii="Times New Roman" w:hAnsi="Times New Roman" w:cs="Times New Roman"/>
          <w:b/>
          <w:sz w:val="24"/>
          <w:szCs w:val="24"/>
        </w:rPr>
        <w:t xml:space="preserve">Open Public </w:t>
      </w:r>
      <w:r w:rsidR="004540CE">
        <w:rPr>
          <w:rFonts w:ascii="Times New Roman" w:hAnsi="Times New Roman" w:cs="Times New Roman"/>
          <w:b/>
          <w:sz w:val="24"/>
          <w:szCs w:val="24"/>
        </w:rPr>
        <w:t>Records</w:t>
      </w:r>
      <w:r w:rsidR="00F52554">
        <w:rPr>
          <w:rFonts w:ascii="Times New Roman" w:hAnsi="Times New Roman" w:cs="Times New Roman"/>
          <w:b/>
          <w:sz w:val="24"/>
          <w:szCs w:val="24"/>
        </w:rPr>
        <w:t xml:space="preserve"> Act </w:t>
      </w:r>
      <w:r w:rsidR="00E77BF1">
        <w:rPr>
          <w:rFonts w:ascii="Times New Roman" w:hAnsi="Times New Roman" w:cs="Times New Roman"/>
          <w:b/>
          <w:sz w:val="24"/>
          <w:szCs w:val="24"/>
        </w:rPr>
        <w:t xml:space="preserve">- </w:t>
      </w:r>
      <w:r w:rsidR="00F52554">
        <w:rPr>
          <w:rFonts w:ascii="Times New Roman" w:hAnsi="Times New Roman" w:cs="Times New Roman"/>
          <w:b/>
          <w:sz w:val="24"/>
          <w:szCs w:val="24"/>
        </w:rPr>
        <w:t xml:space="preserve">N.J.S. </w:t>
      </w:r>
      <w:r w:rsidR="004540CE">
        <w:rPr>
          <w:rFonts w:ascii="Times New Roman" w:hAnsi="Times New Roman" w:cs="Times New Roman"/>
          <w:b/>
          <w:sz w:val="24"/>
          <w:szCs w:val="24"/>
        </w:rPr>
        <w:t>47:1A-1.1</w:t>
      </w:r>
      <w:r w:rsidR="00D103C8">
        <w:rPr>
          <w:rFonts w:ascii="Times New Roman" w:hAnsi="Times New Roman" w:cs="Times New Roman"/>
          <w:b/>
          <w:sz w:val="24"/>
          <w:szCs w:val="24"/>
        </w:rPr>
        <w:t xml:space="preserve"> et seq. - </w:t>
      </w:r>
      <w:r w:rsidR="005F1A75">
        <w:rPr>
          <w:rFonts w:ascii="Times New Roman" w:hAnsi="Times New Roman" w:cs="Times New Roman"/>
          <w:b/>
          <w:sz w:val="24"/>
          <w:szCs w:val="24"/>
        </w:rPr>
        <w:t>(</w:t>
      </w:r>
      <w:r w:rsidR="004540CE">
        <w:rPr>
          <w:rFonts w:ascii="Times New Roman" w:hAnsi="Times New Roman" w:cs="Times New Roman"/>
          <w:b/>
          <w:i/>
          <w:sz w:val="24"/>
          <w:szCs w:val="24"/>
        </w:rPr>
        <w:t xml:space="preserve">Paff v. Bergen County, </w:t>
      </w:r>
      <w:r w:rsidR="004540CE">
        <w:rPr>
          <w:rFonts w:ascii="Times New Roman" w:hAnsi="Times New Roman" w:cs="Times New Roman"/>
          <w:b/>
          <w:sz w:val="24"/>
          <w:szCs w:val="24"/>
        </w:rPr>
        <w:t>2017</w:t>
      </w:r>
      <w:r w:rsidR="00FB03C2">
        <w:rPr>
          <w:rFonts w:ascii="Times New Roman" w:hAnsi="Times New Roman" w:cs="Times New Roman"/>
          <w:b/>
          <w:sz w:val="24"/>
          <w:szCs w:val="24"/>
        </w:rPr>
        <w:t xml:space="preserve"> WL 957735</w:t>
      </w:r>
      <w:r w:rsidR="006573C6">
        <w:rPr>
          <w:rFonts w:ascii="Times New Roman" w:hAnsi="Times New Roman" w:cs="Times New Roman"/>
          <w:b/>
          <w:sz w:val="24"/>
          <w:szCs w:val="24"/>
        </w:rPr>
        <w:t xml:space="preserve"> (App. Div. 2017)</w:t>
      </w:r>
      <w:r w:rsidR="004540CE">
        <w:rPr>
          <w:rFonts w:ascii="Times New Roman" w:hAnsi="Times New Roman" w:cs="Times New Roman"/>
          <w:b/>
          <w:sz w:val="24"/>
          <w:szCs w:val="24"/>
        </w:rPr>
        <w:t>)</w:t>
      </w:r>
    </w:p>
    <w:p w:rsidR="005E572A" w:rsidRDefault="005E572A" w:rsidP="00FD24EC">
      <w:pPr>
        <w:rPr>
          <w:rFonts w:ascii="Times New Roman" w:hAnsi="Times New Roman" w:cs="Times New Roman"/>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sidR="001E5029">
        <w:rPr>
          <w:rFonts w:ascii="Times New Roman" w:hAnsi="Times New Roman" w:cs="Times New Roman"/>
          <w:b/>
          <w:sz w:val="24"/>
          <w:szCs w:val="24"/>
        </w:rPr>
        <w:t>November 5</w:t>
      </w:r>
      <w:r w:rsidR="00CA1D47">
        <w:rPr>
          <w:rFonts w:ascii="Times New Roman" w:hAnsi="Times New Roman" w:cs="Times New Roman"/>
          <w:b/>
          <w:sz w:val="24"/>
          <w:szCs w:val="24"/>
        </w:rPr>
        <w:t>, 2018</w:t>
      </w:r>
    </w:p>
    <w:p w:rsidR="005E572A" w:rsidRDefault="005E572A" w:rsidP="00FD24EC">
      <w:pPr>
        <w:tabs>
          <w:tab w:val="left" w:pos="1945"/>
        </w:tabs>
        <w:rPr>
          <w:rFonts w:ascii="Times New Roman" w:hAnsi="Times New Roman" w:cs="Times New Roman"/>
          <w:sz w:val="24"/>
          <w:szCs w:val="24"/>
        </w:rPr>
      </w:pPr>
      <w:r>
        <w:rPr>
          <w:rFonts w:ascii="Times New Roman" w:hAnsi="Times New Roman" w:cs="Times New Roman"/>
          <w:sz w:val="24"/>
          <w:szCs w:val="24"/>
        </w:rPr>
        <w:tab/>
      </w:r>
    </w:p>
    <w:p w:rsidR="005E572A" w:rsidRDefault="005E572A" w:rsidP="00FD24EC">
      <w:pPr>
        <w:jc w:val="center"/>
        <w:rPr>
          <w:rFonts w:ascii="Times New Roman" w:hAnsi="Times New Roman" w:cs="Times New Roman"/>
          <w:sz w:val="24"/>
          <w:szCs w:val="24"/>
        </w:rPr>
      </w:pPr>
      <w:r>
        <w:rPr>
          <w:rFonts w:ascii="Times New Roman" w:hAnsi="Times New Roman" w:cs="Times New Roman"/>
          <w:b/>
          <w:sz w:val="24"/>
          <w:szCs w:val="24"/>
        </w:rPr>
        <w:t>M E M O R A N D U M</w:t>
      </w:r>
    </w:p>
    <w:p w:rsidR="005E572A" w:rsidRDefault="004540CE" w:rsidP="00FD24EC">
      <w:pPr>
        <w:jc w:val="center"/>
        <w:rPr>
          <w:rFonts w:ascii="Times New Roman" w:hAnsi="Times New Roman" w:cs="Times New Roman"/>
          <w:sz w:val="24"/>
          <w:szCs w:val="24"/>
        </w:rPr>
      </w:pPr>
      <w:r>
        <w:rPr>
          <w:rFonts w:ascii="Times New Roman" w:hAnsi="Times New Roman" w:cs="Times New Roman"/>
          <w:sz w:val="24"/>
          <w:szCs w:val="24"/>
        </w:rPr>
        <w:t xml:space="preserve"> </w:t>
      </w:r>
    </w:p>
    <w:p w:rsidR="005E572A" w:rsidRDefault="005E572A" w:rsidP="00FD24EC">
      <w:pPr>
        <w:jc w:val="center"/>
        <w:rPr>
          <w:rFonts w:ascii="Times New Roman" w:hAnsi="Times New Roman" w:cs="Times New Roman"/>
          <w:sz w:val="24"/>
          <w:szCs w:val="24"/>
        </w:rPr>
      </w:pPr>
      <w:r>
        <w:rPr>
          <w:rFonts w:ascii="Times New Roman" w:hAnsi="Times New Roman" w:cs="Times New Roman"/>
          <w:b/>
          <w:sz w:val="24"/>
          <w:szCs w:val="24"/>
        </w:rPr>
        <w:t>Executive Summary</w:t>
      </w:r>
    </w:p>
    <w:p w:rsidR="005E572A" w:rsidRDefault="005E572A" w:rsidP="00FD24EC">
      <w:pPr>
        <w:jc w:val="center"/>
        <w:rPr>
          <w:rFonts w:ascii="Times New Roman" w:hAnsi="Times New Roman" w:cs="Times New Roman"/>
          <w:sz w:val="24"/>
          <w:szCs w:val="24"/>
        </w:rPr>
      </w:pPr>
    </w:p>
    <w:p w:rsidR="0057667D" w:rsidRDefault="00B44A3B" w:rsidP="00FD24EC">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4540CE" w:rsidRPr="00FB03C2">
        <w:rPr>
          <w:rFonts w:ascii="Times New Roman" w:hAnsi="Times New Roman" w:cs="Times New Roman"/>
          <w:i/>
          <w:sz w:val="24"/>
          <w:szCs w:val="24"/>
        </w:rPr>
        <w:t>P</w:t>
      </w:r>
      <w:r w:rsidR="004540CE" w:rsidRPr="004540CE">
        <w:rPr>
          <w:rFonts w:ascii="Times New Roman" w:hAnsi="Times New Roman" w:cs="Times New Roman"/>
          <w:i/>
          <w:sz w:val="24"/>
          <w:szCs w:val="24"/>
        </w:rPr>
        <w:t>aff v. Bergen County</w:t>
      </w:r>
      <w:r w:rsidR="00F52554">
        <w:rPr>
          <w:rFonts w:ascii="Times New Roman" w:hAnsi="Times New Roman" w:cs="Times New Roman"/>
          <w:sz w:val="24"/>
          <w:szCs w:val="24"/>
        </w:rPr>
        <w:t>,</w:t>
      </w:r>
      <w:r w:rsidR="002D5A9F">
        <w:rPr>
          <w:rFonts w:ascii="Times New Roman" w:hAnsi="Times New Roman" w:cs="Times New Roman"/>
          <w:sz w:val="24"/>
          <w:szCs w:val="24"/>
        </w:rPr>
        <w:t xml:space="preserve"> </w:t>
      </w:r>
      <w:r w:rsidR="00B24DE4">
        <w:rPr>
          <w:rFonts w:ascii="Times New Roman" w:hAnsi="Times New Roman" w:cs="Times New Roman"/>
          <w:sz w:val="24"/>
          <w:szCs w:val="24"/>
        </w:rPr>
        <w:t xml:space="preserve">the </w:t>
      </w:r>
      <w:r w:rsidR="00FF150E">
        <w:rPr>
          <w:rFonts w:ascii="Times New Roman" w:hAnsi="Times New Roman" w:cs="Times New Roman"/>
          <w:sz w:val="24"/>
          <w:szCs w:val="24"/>
        </w:rPr>
        <w:t>Court</w:t>
      </w:r>
      <w:r w:rsidR="00B24DE4">
        <w:rPr>
          <w:rFonts w:ascii="Times New Roman" w:hAnsi="Times New Roman" w:cs="Times New Roman"/>
          <w:sz w:val="24"/>
          <w:szCs w:val="24"/>
        </w:rPr>
        <w:t xml:space="preserve"> considered</w:t>
      </w:r>
      <w:r w:rsidR="00213310">
        <w:rPr>
          <w:rFonts w:ascii="Times New Roman" w:hAnsi="Times New Roman" w:cs="Times New Roman"/>
          <w:sz w:val="24"/>
          <w:szCs w:val="24"/>
        </w:rPr>
        <w:t xml:space="preserve"> </w:t>
      </w:r>
      <w:r w:rsidR="00FB03C2">
        <w:rPr>
          <w:rFonts w:ascii="Times New Roman" w:hAnsi="Times New Roman" w:cs="Times New Roman"/>
          <w:sz w:val="24"/>
          <w:szCs w:val="24"/>
        </w:rPr>
        <w:t>several issues pertaining to the Open Public Records Act (OPRA).</w:t>
      </w:r>
      <w:r w:rsidR="00AF1F87">
        <w:rPr>
          <w:rFonts w:ascii="Times New Roman" w:hAnsi="Times New Roman" w:cs="Times New Roman"/>
          <w:sz w:val="24"/>
          <w:szCs w:val="24"/>
        </w:rPr>
        <w:t xml:space="preserve"> </w:t>
      </w:r>
      <w:r w:rsidR="00FB03C2">
        <w:rPr>
          <w:rFonts w:ascii="Times New Roman" w:hAnsi="Times New Roman" w:cs="Times New Roman"/>
          <w:sz w:val="24"/>
          <w:szCs w:val="24"/>
        </w:rPr>
        <w:t>One specific</w:t>
      </w:r>
      <w:r w:rsidR="004540CE">
        <w:rPr>
          <w:rFonts w:ascii="Times New Roman" w:hAnsi="Times New Roman" w:cs="Times New Roman"/>
          <w:sz w:val="24"/>
          <w:szCs w:val="24"/>
        </w:rPr>
        <w:t xml:space="preserve"> issue </w:t>
      </w:r>
      <w:r w:rsidR="00FB03C2">
        <w:rPr>
          <w:rFonts w:ascii="Times New Roman" w:hAnsi="Times New Roman" w:cs="Times New Roman"/>
          <w:sz w:val="24"/>
          <w:szCs w:val="24"/>
        </w:rPr>
        <w:t xml:space="preserve">was </w:t>
      </w:r>
      <w:r w:rsidR="004540CE">
        <w:rPr>
          <w:rFonts w:ascii="Times New Roman" w:hAnsi="Times New Roman" w:cs="Times New Roman"/>
          <w:sz w:val="24"/>
          <w:szCs w:val="24"/>
        </w:rPr>
        <w:t xml:space="preserve">whether </w:t>
      </w:r>
      <w:r w:rsidR="00FB03C2">
        <w:rPr>
          <w:rFonts w:ascii="Times New Roman" w:hAnsi="Times New Roman" w:cs="Times New Roman"/>
          <w:sz w:val="24"/>
          <w:szCs w:val="24"/>
        </w:rPr>
        <w:t xml:space="preserve">the county violated OPRA by denying </w:t>
      </w:r>
      <w:r w:rsidR="004540CE">
        <w:rPr>
          <w:rFonts w:ascii="Times New Roman" w:hAnsi="Times New Roman" w:cs="Times New Roman"/>
          <w:sz w:val="24"/>
          <w:szCs w:val="24"/>
        </w:rPr>
        <w:t>access to</w:t>
      </w:r>
      <w:r w:rsidR="00FB03C2">
        <w:rPr>
          <w:rFonts w:ascii="Times New Roman" w:hAnsi="Times New Roman" w:cs="Times New Roman"/>
          <w:sz w:val="24"/>
          <w:szCs w:val="24"/>
        </w:rPr>
        <w:t xml:space="preserve"> redacted </w:t>
      </w:r>
      <w:r w:rsidR="004540CE">
        <w:rPr>
          <w:rFonts w:ascii="Times New Roman" w:hAnsi="Times New Roman" w:cs="Times New Roman"/>
          <w:sz w:val="24"/>
          <w:szCs w:val="24"/>
        </w:rPr>
        <w:t>information requested</w:t>
      </w:r>
      <w:r w:rsidR="00CA1D47">
        <w:rPr>
          <w:rFonts w:ascii="Times New Roman" w:hAnsi="Times New Roman" w:cs="Times New Roman"/>
          <w:sz w:val="24"/>
          <w:szCs w:val="24"/>
        </w:rPr>
        <w:t>.</w:t>
      </w:r>
      <w:r w:rsidR="0057667D">
        <w:rPr>
          <w:rStyle w:val="FootnoteReference"/>
          <w:rFonts w:cs="Times New Roman"/>
          <w:sz w:val="24"/>
          <w:szCs w:val="24"/>
        </w:rPr>
        <w:footnoteReference w:id="1"/>
      </w:r>
      <w:r w:rsidR="00CA1D47">
        <w:rPr>
          <w:rFonts w:ascii="Times New Roman" w:hAnsi="Times New Roman" w:cs="Times New Roman"/>
          <w:sz w:val="24"/>
          <w:szCs w:val="24"/>
        </w:rPr>
        <w:t xml:space="preserve"> </w:t>
      </w:r>
    </w:p>
    <w:p w:rsidR="00FD24EC" w:rsidRDefault="00FD24EC" w:rsidP="00FD24EC">
      <w:pPr>
        <w:spacing w:line="276" w:lineRule="auto"/>
        <w:ind w:firstLine="720"/>
        <w:jc w:val="both"/>
        <w:rPr>
          <w:rFonts w:ascii="Times New Roman" w:hAnsi="Times New Roman" w:cs="Times New Roman"/>
          <w:sz w:val="24"/>
          <w:szCs w:val="24"/>
        </w:rPr>
      </w:pPr>
    </w:p>
    <w:p w:rsidR="005E572A" w:rsidRDefault="005E572A" w:rsidP="00FD24EC">
      <w:pPr>
        <w:spacing w:line="276" w:lineRule="auto"/>
        <w:jc w:val="center"/>
        <w:rPr>
          <w:rFonts w:ascii="Times New Roman" w:hAnsi="Times New Roman" w:cs="Times New Roman"/>
          <w:sz w:val="24"/>
          <w:szCs w:val="24"/>
        </w:rPr>
      </w:pPr>
      <w:r>
        <w:rPr>
          <w:rFonts w:ascii="Times New Roman" w:hAnsi="Times New Roman" w:cs="Times New Roman"/>
          <w:b/>
          <w:sz w:val="24"/>
          <w:szCs w:val="24"/>
        </w:rPr>
        <w:t>Background</w:t>
      </w:r>
    </w:p>
    <w:p w:rsidR="005F1A75" w:rsidRDefault="005F1A75" w:rsidP="00FD24EC">
      <w:pPr>
        <w:spacing w:line="276" w:lineRule="auto"/>
        <w:ind w:firstLine="720"/>
        <w:rPr>
          <w:rFonts w:ascii="Times New Roman" w:hAnsi="Times New Roman" w:cs="Times New Roman"/>
          <w:sz w:val="24"/>
          <w:szCs w:val="24"/>
        </w:rPr>
      </w:pPr>
    </w:p>
    <w:p w:rsidR="00D103C8" w:rsidRDefault="00FB03C2" w:rsidP="00495832">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A records requestor filed a complaint against a county and sheriff’s office’s custodian of records for violating the Open Public Records Act (OPRA) and his common-law right to access</w:t>
      </w:r>
      <w:r w:rsidR="00B06AA2">
        <w:rPr>
          <w:rFonts w:ascii="Times New Roman" w:hAnsi="Times New Roman" w:cs="Times New Roman"/>
          <w:sz w:val="24"/>
          <w:szCs w:val="24"/>
        </w:rPr>
        <w:t>.</w:t>
      </w:r>
      <w:r w:rsidR="00B06AA2">
        <w:rPr>
          <w:rStyle w:val="FootnoteReference"/>
          <w:rFonts w:cs="Times New Roman"/>
          <w:sz w:val="24"/>
          <w:szCs w:val="24"/>
        </w:rPr>
        <w:footnoteReference w:id="2"/>
      </w:r>
      <w:r w:rsidR="00B06AA2">
        <w:rPr>
          <w:rFonts w:ascii="Times New Roman" w:hAnsi="Times New Roman" w:cs="Times New Roman"/>
          <w:sz w:val="24"/>
          <w:szCs w:val="24"/>
        </w:rPr>
        <w:t xml:space="preserve"> </w:t>
      </w:r>
      <w:r w:rsidR="00C64B74">
        <w:rPr>
          <w:rFonts w:ascii="Times New Roman" w:hAnsi="Times New Roman" w:cs="Times New Roman"/>
          <w:sz w:val="24"/>
          <w:szCs w:val="24"/>
        </w:rPr>
        <w:t xml:space="preserve">Before doing so, he </w:t>
      </w:r>
      <w:r>
        <w:rPr>
          <w:rFonts w:ascii="Times New Roman" w:hAnsi="Times New Roman" w:cs="Times New Roman"/>
          <w:sz w:val="24"/>
          <w:szCs w:val="24"/>
        </w:rPr>
        <w:t xml:space="preserve">filed a request under OPRA </w:t>
      </w:r>
      <w:r w:rsidR="00357964">
        <w:rPr>
          <w:rFonts w:ascii="Times New Roman" w:hAnsi="Times New Roman" w:cs="Times New Roman"/>
          <w:sz w:val="24"/>
          <w:szCs w:val="24"/>
        </w:rPr>
        <w:t xml:space="preserve">seeking a log of complaints against correction officers who worked in the </w:t>
      </w:r>
      <w:r w:rsidR="00D103C8">
        <w:rPr>
          <w:rFonts w:ascii="Times New Roman" w:hAnsi="Times New Roman" w:cs="Times New Roman"/>
          <w:sz w:val="24"/>
          <w:szCs w:val="24"/>
        </w:rPr>
        <w:t>Bergen County jail beginning on</w:t>
      </w:r>
      <w:r w:rsidR="00357964">
        <w:rPr>
          <w:rFonts w:ascii="Times New Roman" w:hAnsi="Times New Roman" w:cs="Times New Roman"/>
          <w:sz w:val="24"/>
          <w:szCs w:val="24"/>
        </w:rPr>
        <w:t xml:space="preserve"> January 1, 2012.</w:t>
      </w:r>
      <w:r w:rsidR="00237883">
        <w:rPr>
          <w:rStyle w:val="FootnoteReference"/>
          <w:rFonts w:cs="Times New Roman"/>
          <w:sz w:val="24"/>
          <w:szCs w:val="24"/>
        </w:rPr>
        <w:footnoteReference w:id="3"/>
      </w:r>
      <w:r w:rsidR="00357964">
        <w:rPr>
          <w:rFonts w:ascii="Times New Roman" w:hAnsi="Times New Roman" w:cs="Times New Roman"/>
          <w:sz w:val="24"/>
          <w:szCs w:val="24"/>
        </w:rPr>
        <w:t xml:space="preserve"> Defendants provide</w:t>
      </w:r>
      <w:r w:rsidR="00237883">
        <w:rPr>
          <w:rFonts w:ascii="Times New Roman" w:hAnsi="Times New Roman" w:cs="Times New Roman"/>
          <w:sz w:val="24"/>
          <w:szCs w:val="24"/>
        </w:rPr>
        <w:t>d the log, which was redacted to remove personal identifiers, specifically the names of the complainants and the officers against whom the complaint</w:t>
      </w:r>
      <w:r w:rsidR="00D103C8">
        <w:rPr>
          <w:rFonts w:ascii="Times New Roman" w:hAnsi="Times New Roman" w:cs="Times New Roman"/>
          <w:sz w:val="24"/>
          <w:szCs w:val="24"/>
        </w:rPr>
        <w:t>s</w:t>
      </w:r>
      <w:r w:rsidR="00237883">
        <w:rPr>
          <w:rFonts w:ascii="Times New Roman" w:hAnsi="Times New Roman" w:cs="Times New Roman"/>
          <w:sz w:val="24"/>
          <w:szCs w:val="24"/>
        </w:rPr>
        <w:t xml:space="preserve"> w</w:t>
      </w:r>
      <w:r w:rsidR="00D103C8">
        <w:rPr>
          <w:rFonts w:ascii="Times New Roman" w:hAnsi="Times New Roman" w:cs="Times New Roman"/>
          <w:sz w:val="24"/>
          <w:szCs w:val="24"/>
        </w:rPr>
        <w:t>ere</w:t>
      </w:r>
      <w:r w:rsidR="00237883">
        <w:rPr>
          <w:rFonts w:ascii="Times New Roman" w:hAnsi="Times New Roman" w:cs="Times New Roman"/>
          <w:sz w:val="24"/>
          <w:szCs w:val="24"/>
        </w:rPr>
        <w:t xml:space="preserve"> made.</w:t>
      </w:r>
      <w:r w:rsidR="00237883">
        <w:rPr>
          <w:rStyle w:val="FootnoteReference"/>
          <w:rFonts w:cs="Times New Roman"/>
          <w:sz w:val="24"/>
          <w:szCs w:val="24"/>
        </w:rPr>
        <w:footnoteReference w:id="4"/>
      </w:r>
      <w:r w:rsidR="0087025D">
        <w:rPr>
          <w:rFonts w:ascii="Times New Roman" w:hAnsi="Times New Roman" w:cs="Times New Roman"/>
          <w:sz w:val="24"/>
          <w:szCs w:val="24"/>
        </w:rPr>
        <w:t xml:space="preserve"> </w:t>
      </w:r>
    </w:p>
    <w:p w:rsidR="00D103C8" w:rsidRDefault="00D103C8" w:rsidP="00495832">
      <w:pPr>
        <w:spacing w:line="276" w:lineRule="auto"/>
        <w:ind w:firstLine="720"/>
        <w:jc w:val="both"/>
        <w:rPr>
          <w:rFonts w:ascii="Times New Roman" w:hAnsi="Times New Roman" w:cs="Times New Roman"/>
          <w:sz w:val="24"/>
          <w:szCs w:val="24"/>
        </w:rPr>
      </w:pPr>
    </w:p>
    <w:p w:rsidR="00F45CB5" w:rsidRDefault="00C64B74" w:rsidP="00495832">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response, the </w:t>
      </w:r>
      <w:r w:rsidR="00D103C8">
        <w:rPr>
          <w:rFonts w:ascii="Times New Roman" w:hAnsi="Times New Roman" w:cs="Times New Roman"/>
          <w:sz w:val="24"/>
          <w:szCs w:val="24"/>
        </w:rPr>
        <w:t>Plaintiff</w:t>
      </w:r>
      <w:r w:rsidR="0087025D">
        <w:rPr>
          <w:rFonts w:ascii="Times New Roman" w:hAnsi="Times New Roman" w:cs="Times New Roman"/>
          <w:sz w:val="24"/>
          <w:szCs w:val="24"/>
        </w:rPr>
        <w:t xml:space="preserve"> filed a complaint and order to show cause</w:t>
      </w:r>
      <w:r w:rsidR="00D103C8">
        <w:rPr>
          <w:rFonts w:ascii="Times New Roman" w:hAnsi="Times New Roman" w:cs="Times New Roman"/>
          <w:sz w:val="24"/>
          <w:szCs w:val="24"/>
        </w:rPr>
        <w:t xml:space="preserve"> alleging that the Defendants had improperly redacted information without an explanation.</w:t>
      </w:r>
      <w:r>
        <w:rPr>
          <w:rStyle w:val="FootnoteReference"/>
          <w:rFonts w:cs="Times New Roman"/>
          <w:sz w:val="24"/>
          <w:szCs w:val="24"/>
        </w:rPr>
        <w:footnoteReference w:id="5"/>
      </w:r>
      <w:r w:rsidR="00D103C8">
        <w:rPr>
          <w:rFonts w:ascii="Times New Roman" w:hAnsi="Times New Roman" w:cs="Times New Roman"/>
          <w:sz w:val="24"/>
          <w:szCs w:val="24"/>
        </w:rPr>
        <w:t xml:space="preserve"> </w:t>
      </w:r>
      <w:r>
        <w:rPr>
          <w:rFonts w:ascii="Times New Roman" w:hAnsi="Times New Roman" w:cs="Times New Roman"/>
          <w:sz w:val="24"/>
          <w:szCs w:val="24"/>
        </w:rPr>
        <w:t>Defendants claimed that “the redacted information was exempt from disclosure as confidential, in compliance with the Attorney General’s Internal Affairs Policies and Procedures (the Guidelines), adopted by the Bergen County Sheriff’s Office, along with its internal affairs investigation guidelines.”</w:t>
      </w:r>
      <w:r>
        <w:rPr>
          <w:rStyle w:val="FootnoteReference"/>
          <w:rFonts w:cs="Times New Roman"/>
          <w:sz w:val="24"/>
          <w:szCs w:val="24"/>
        </w:rPr>
        <w:footnoteReference w:id="6"/>
      </w:r>
      <w:r>
        <w:rPr>
          <w:rFonts w:ascii="Times New Roman" w:hAnsi="Times New Roman" w:cs="Times New Roman"/>
          <w:sz w:val="24"/>
          <w:szCs w:val="24"/>
        </w:rPr>
        <w:t xml:space="preserve"> The </w:t>
      </w:r>
      <w:r w:rsidR="00AB1EFD">
        <w:rPr>
          <w:rFonts w:ascii="Times New Roman" w:hAnsi="Times New Roman" w:cs="Times New Roman"/>
          <w:sz w:val="24"/>
          <w:szCs w:val="24"/>
        </w:rPr>
        <w:t>T</w:t>
      </w:r>
      <w:r w:rsidR="0087025D">
        <w:rPr>
          <w:rFonts w:ascii="Times New Roman" w:hAnsi="Times New Roman" w:cs="Times New Roman"/>
          <w:sz w:val="24"/>
          <w:szCs w:val="24"/>
        </w:rPr>
        <w:t xml:space="preserve">rial </w:t>
      </w:r>
      <w:r w:rsidR="00AB1EFD">
        <w:rPr>
          <w:rFonts w:ascii="Times New Roman" w:hAnsi="Times New Roman" w:cs="Times New Roman"/>
          <w:sz w:val="24"/>
          <w:szCs w:val="24"/>
        </w:rPr>
        <w:t>C</w:t>
      </w:r>
      <w:r w:rsidR="0087025D">
        <w:rPr>
          <w:rFonts w:ascii="Times New Roman" w:hAnsi="Times New Roman" w:cs="Times New Roman"/>
          <w:sz w:val="24"/>
          <w:szCs w:val="24"/>
        </w:rPr>
        <w:t xml:space="preserve">ourt ordered disclosure of the redacted material </w:t>
      </w:r>
      <w:r w:rsidR="00F45CB5">
        <w:rPr>
          <w:rFonts w:ascii="Times New Roman" w:hAnsi="Times New Roman" w:cs="Times New Roman"/>
          <w:sz w:val="24"/>
          <w:szCs w:val="24"/>
        </w:rPr>
        <w:t>and awarded Plaintiff attorney fees and costs.</w:t>
      </w:r>
      <w:r w:rsidR="00F45CB5">
        <w:rPr>
          <w:rStyle w:val="FootnoteReference"/>
          <w:rFonts w:cs="Times New Roman"/>
          <w:sz w:val="24"/>
          <w:szCs w:val="24"/>
        </w:rPr>
        <w:footnoteReference w:id="7"/>
      </w:r>
      <w:r w:rsidR="00495832">
        <w:rPr>
          <w:rFonts w:ascii="Times New Roman" w:hAnsi="Times New Roman" w:cs="Times New Roman"/>
          <w:sz w:val="24"/>
          <w:szCs w:val="24"/>
        </w:rPr>
        <w:t xml:space="preserve"> </w:t>
      </w:r>
    </w:p>
    <w:p w:rsidR="00852549" w:rsidRDefault="00852549" w:rsidP="00FD24EC">
      <w:pPr>
        <w:spacing w:line="276" w:lineRule="auto"/>
        <w:ind w:firstLine="720"/>
        <w:jc w:val="both"/>
        <w:rPr>
          <w:rFonts w:ascii="Times New Roman" w:hAnsi="Times New Roman" w:cs="Times New Roman"/>
          <w:sz w:val="24"/>
          <w:szCs w:val="24"/>
        </w:rPr>
      </w:pPr>
    </w:p>
    <w:p w:rsidR="006A1CCD" w:rsidRDefault="00E01E40" w:rsidP="008722B9">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On</w:t>
      </w:r>
      <w:r w:rsidR="00FF150E">
        <w:rPr>
          <w:rFonts w:ascii="Times New Roman" w:hAnsi="Times New Roman" w:cs="Times New Roman"/>
          <w:sz w:val="24"/>
          <w:szCs w:val="24"/>
        </w:rPr>
        <w:t xml:space="preserve"> appeal, the </w:t>
      </w:r>
      <w:r w:rsidR="00813664">
        <w:rPr>
          <w:rFonts w:ascii="Times New Roman" w:hAnsi="Times New Roman" w:cs="Times New Roman"/>
          <w:sz w:val="24"/>
          <w:szCs w:val="24"/>
        </w:rPr>
        <w:t>A</w:t>
      </w:r>
      <w:r w:rsidR="00FF150E">
        <w:rPr>
          <w:rFonts w:ascii="Times New Roman" w:hAnsi="Times New Roman" w:cs="Times New Roman"/>
          <w:sz w:val="24"/>
          <w:szCs w:val="24"/>
        </w:rPr>
        <w:t xml:space="preserve">ppellate </w:t>
      </w:r>
      <w:r w:rsidR="00813664">
        <w:rPr>
          <w:rFonts w:ascii="Times New Roman" w:hAnsi="Times New Roman" w:cs="Times New Roman"/>
          <w:sz w:val="24"/>
          <w:szCs w:val="24"/>
        </w:rPr>
        <w:t>Division</w:t>
      </w:r>
      <w:r w:rsidR="00FF150E">
        <w:rPr>
          <w:rFonts w:ascii="Times New Roman" w:hAnsi="Times New Roman" w:cs="Times New Roman"/>
          <w:sz w:val="24"/>
          <w:szCs w:val="24"/>
        </w:rPr>
        <w:t xml:space="preserve"> disagreed with the </w:t>
      </w:r>
      <w:r w:rsidR="00813664">
        <w:rPr>
          <w:rFonts w:ascii="Times New Roman" w:hAnsi="Times New Roman" w:cs="Times New Roman"/>
          <w:sz w:val="24"/>
          <w:szCs w:val="24"/>
        </w:rPr>
        <w:t>T</w:t>
      </w:r>
      <w:r w:rsidR="00FF150E">
        <w:rPr>
          <w:rFonts w:ascii="Times New Roman" w:hAnsi="Times New Roman" w:cs="Times New Roman"/>
          <w:sz w:val="24"/>
          <w:szCs w:val="24"/>
        </w:rPr>
        <w:t xml:space="preserve">rial Court’s finding </w:t>
      </w:r>
      <w:r w:rsidR="008722B9">
        <w:rPr>
          <w:rFonts w:ascii="Times New Roman" w:hAnsi="Times New Roman" w:cs="Times New Roman"/>
          <w:sz w:val="24"/>
          <w:szCs w:val="24"/>
        </w:rPr>
        <w:t>and determined that Respondent’s access to public records was not denied by the county or sheriff’s office custodian and that Respondent did not have a common law right to access personal identifiers in the log of information provided.</w:t>
      </w:r>
      <w:r w:rsidR="0091082B">
        <w:rPr>
          <w:rFonts w:ascii="Times New Roman" w:hAnsi="Times New Roman" w:cs="Times New Roman"/>
          <w:sz w:val="24"/>
          <w:szCs w:val="24"/>
        </w:rPr>
        <w:t xml:space="preserve"> </w:t>
      </w:r>
      <w:r w:rsidR="008722B9">
        <w:rPr>
          <w:rStyle w:val="FootnoteReference"/>
          <w:rFonts w:cs="Times New Roman"/>
          <w:sz w:val="24"/>
          <w:szCs w:val="24"/>
        </w:rPr>
        <w:footnoteReference w:id="8"/>
      </w:r>
      <w:r w:rsidR="008722B9">
        <w:rPr>
          <w:rFonts w:ascii="Times New Roman" w:hAnsi="Times New Roman" w:cs="Times New Roman"/>
          <w:sz w:val="24"/>
          <w:szCs w:val="24"/>
        </w:rPr>
        <w:t xml:space="preserve">Specifically, the Court looked to the statue’s definition section which states in relevant part, “…[a] government record shall not include the following information </w:t>
      </w:r>
      <w:r w:rsidR="008722B9">
        <w:rPr>
          <w:rFonts w:ascii="Times New Roman" w:hAnsi="Times New Roman" w:cs="Times New Roman"/>
          <w:sz w:val="24"/>
          <w:szCs w:val="24"/>
        </w:rPr>
        <w:lastRenderedPageBreak/>
        <w:t>which is deemed to be confidential…”</w:t>
      </w:r>
      <w:r w:rsidR="008722B9">
        <w:rPr>
          <w:rStyle w:val="FootnoteReference"/>
          <w:rFonts w:cs="Times New Roman"/>
          <w:sz w:val="24"/>
          <w:szCs w:val="24"/>
        </w:rPr>
        <w:footnoteReference w:id="9"/>
      </w:r>
      <w:r w:rsidR="008722B9">
        <w:rPr>
          <w:rFonts w:ascii="Times New Roman" w:hAnsi="Times New Roman" w:cs="Times New Roman"/>
          <w:sz w:val="24"/>
          <w:szCs w:val="24"/>
        </w:rPr>
        <w:t xml:space="preserve"> This section goes on to list thirty-one categories of documents that are not </w:t>
      </w:r>
      <w:r w:rsidR="00AB1EFD">
        <w:rPr>
          <w:rFonts w:ascii="Times New Roman" w:hAnsi="Times New Roman" w:cs="Times New Roman"/>
          <w:sz w:val="24"/>
          <w:szCs w:val="24"/>
        </w:rPr>
        <w:t xml:space="preserve">deemed to be </w:t>
      </w:r>
      <w:r w:rsidR="008722B9">
        <w:rPr>
          <w:rFonts w:ascii="Times New Roman" w:hAnsi="Times New Roman" w:cs="Times New Roman"/>
          <w:sz w:val="24"/>
          <w:szCs w:val="24"/>
        </w:rPr>
        <w:t>government records subject to OPRA’s disclosure requirements</w:t>
      </w:r>
      <w:r w:rsidR="00116354">
        <w:rPr>
          <w:rFonts w:ascii="Times New Roman" w:hAnsi="Times New Roman" w:cs="Times New Roman"/>
          <w:sz w:val="24"/>
          <w:szCs w:val="24"/>
        </w:rPr>
        <w:t>.</w:t>
      </w:r>
      <w:r w:rsidR="00116354">
        <w:rPr>
          <w:rStyle w:val="FootnoteReference"/>
          <w:rFonts w:cs="Times New Roman"/>
          <w:sz w:val="24"/>
          <w:szCs w:val="24"/>
        </w:rPr>
        <w:footnoteReference w:id="10"/>
      </w:r>
      <w:r w:rsidR="00116354">
        <w:rPr>
          <w:rFonts w:ascii="Times New Roman" w:hAnsi="Times New Roman" w:cs="Times New Roman"/>
          <w:sz w:val="24"/>
          <w:szCs w:val="24"/>
        </w:rPr>
        <w:t xml:space="preserve"> While the Appellate Court agreed with the Tri</w:t>
      </w:r>
      <w:r w:rsidR="00AB1EFD">
        <w:rPr>
          <w:rFonts w:ascii="Times New Roman" w:hAnsi="Times New Roman" w:cs="Times New Roman"/>
          <w:sz w:val="24"/>
          <w:szCs w:val="24"/>
        </w:rPr>
        <w:t>a</w:t>
      </w:r>
      <w:r w:rsidR="00116354">
        <w:rPr>
          <w:rFonts w:ascii="Times New Roman" w:hAnsi="Times New Roman" w:cs="Times New Roman"/>
          <w:sz w:val="24"/>
          <w:szCs w:val="24"/>
        </w:rPr>
        <w:t>l Court, that th</w:t>
      </w:r>
      <w:r w:rsidR="00AB1EFD">
        <w:rPr>
          <w:rFonts w:ascii="Times New Roman" w:hAnsi="Times New Roman" w:cs="Times New Roman"/>
          <w:sz w:val="24"/>
          <w:szCs w:val="24"/>
        </w:rPr>
        <w:t>e statutory</w:t>
      </w:r>
      <w:r w:rsidR="00116354">
        <w:rPr>
          <w:rFonts w:ascii="Times New Roman" w:hAnsi="Times New Roman" w:cs="Times New Roman"/>
          <w:sz w:val="24"/>
          <w:szCs w:val="24"/>
        </w:rPr>
        <w:t xml:space="preserve"> section does </w:t>
      </w:r>
      <w:r w:rsidR="00AB1EFD">
        <w:rPr>
          <w:rFonts w:ascii="Times New Roman" w:hAnsi="Times New Roman" w:cs="Times New Roman"/>
          <w:sz w:val="24"/>
          <w:szCs w:val="24"/>
        </w:rPr>
        <w:t xml:space="preserve">not </w:t>
      </w:r>
      <w:r w:rsidR="00116354">
        <w:rPr>
          <w:rFonts w:ascii="Times New Roman" w:hAnsi="Times New Roman" w:cs="Times New Roman"/>
          <w:sz w:val="24"/>
          <w:szCs w:val="24"/>
        </w:rPr>
        <w:t xml:space="preserve">make specific reference to the Guidelines, </w:t>
      </w:r>
      <w:r w:rsidR="0077611D">
        <w:rPr>
          <w:rFonts w:ascii="Times New Roman" w:hAnsi="Times New Roman" w:cs="Times New Roman"/>
          <w:sz w:val="24"/>
          <w:szCs w:val="24"/>
        </w:rPr>
        <w:t>i</w:t>
      </w:r>
      <w:r w:rsidR="00AB1EFD">
        <w:rPr>
          <w:rFonts w:ascii="Times New Roman" w:hAnsi="Times New Roman" w:cs="Times New Roman"/>
          <w:sz w:val="24"/>
          <w:szCs w:val="24"/>
        </w:rPr>
        <w:t xml:space="preserve">t noted that </w:t>
      </w:r>
      <w:r w:rsidR="00116354">
        <w:rPr>
          <w:rFonts w:ascii="Times New Roman" w:hAnsi="Times New Roman" w:cs="Times New Roman"/>
          <w:sz w:val="24"/>
          <w:szCs w:val="24"/>
        </w:rPr>
        <w:t xml:space="preserve">such a literal review </w:t>
      </w:r>
      <w:r w:rsidR="00AB1EFD">
        <w:rPr>
          <w:rFonts w:ascii="Times New Roman" w:hAnsi="Times New Roman" w:cs="Times New Roman"/>
          <w:sz w:val="24"/>
          <w:szCs w:val="24"/>
        </w:rPr>
        <w:t xml:space="preserve">“overlooks the </w:t>
      </w:r>
      <w:r w:rsidR="00116354">
        <w:rPr>
          <w:rFonts w:ascii="Times New Roman" w:hAnsi="Times New Roman" w:cs="Times New Roman"/>
          <w:sz w:val="24"/>
          <w:szCs w:val="24"/>
        </w:rPr>
        <w:t xml:space="preserve">depth of the </w:t>
      </w:r>
      <w:r w:rsidR="00AB1EFD">
        <w:rPr>
          <w:rFonts w:ascii="Times New Roman" w:hAnsi="Times New Roman" w:cs="Times New Roman"/>
          <w:sz w:val="24"/>
          <w:szCs w:val="24"/>
        </w:rPr>
        <w:t>r</w:t>
      </w:r>
      <w:r w:rsidR="00116354">
        <w:rPr>
          <w:rFonts w:ascii="Times New Roman" w:hAnsi="Times New Roman" w:cs="Times New Roman"/>
          <w:sz w:val="24"/>
          <w:szCs w:val="24"/>
        </w:rPr>
        <w:t>ecognized exceptions.</w:t>
      </w:r>
      <w:r w:rsidR="00AB1EFD">
        <w:rPr>
          <w:rFonts w:ascii="Times New Roman" w:hAnsi="Times New Roman" w:cs="Times New Roman"/>
          <w:sz w:val="24"/>
          <w:szCs w:val="24"/>
        </w:rPr>
        <w:t>”</w:t>
      </w:r>
      <w:r w:rsidR="00116354">
        <w:rPr>
          <w:rStyle w:val="FootnoteReference"/>
          <w:rFonts w:cs="Times New Roman"/>
          <w:sz w:val="24"/>
          <w:szCs w:val="24"/>
        </w:rPr>
        <w:footnoteReference w:id="11"/>
      </w:r>
    </w:p>
    <w:p w:rsidR="003C6DC8" w:rsidRDefault="003C6DC8" w:rsidP="008722B9">
      <w:pPr>
        <w:spacing w:line="276" w:lineRule="auto"/>
        <w:ind w:firstLine="720"/>
        <w:jc w:val="both"/>
        <w:rPr>
          <w:rFonts w:ascii="Times New Roman" w:hAnsi="Times New Roman" w:cs="Times New Roman"/>
          <w:sz w:val="24"/>
          <w:szCs w:val="24"/>
        </w:rPr>
      </w:pPr>
    </w:p>
    <w:p w:rsidR="008722B9" w:rsidRDefault="006A1CCD" w:rsidP="008722B9">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Additionally</w:t>
      </w:r>
      <w:r w:rsidR="00116354">
        <w:rPr>
          <w:rFonts w:ascii="Times New Roman" w:hAnsi="Times New Roman" w:cs="Times New Roman"/>
          <w:sz w:val="24"/>
          <w:szCs w:val="24"/>
        </w:rPr>
        <w:t xml:space="preserve">, the Court </w:t>
      </w:r>
      <w:r w:rsidR="000E3A13">
        <w:rPr>
          <w:rFonts w:ascii="Times New Roman" w:hAnsi="Times New Roman" w:cs="Times New Roman"/>
          <w:sz w:val="24"/>
          <w:szCs w:val="24"/>
        </w:rPr>
        <w:t>made reference to</w:t>
      </w:r>
      <w:r w:rsidR="00116354">
        <w:rPr>
          <w:rFonts w:ascii="Times New Roman" w:hAnsi="Times New Roman" w:cs="Times New Roman"/>
          <w:sz w:val="24"/>
          <w:szCs w:val="24"/>
        </w:rPr>
        <w:t xml:space="preserve"> </w:t>
      </w:r>
      <w:r w:rsidR="003442EC">
        <w:rPr>
          <w:rFonts w:ascii="Times New Roman" w:hAnsi="Times New Roman" w:cs="Times New Roman"/>
          <w:sz w:val="24"/>
          <w:szCs w:val="24"/>
        </w:rPr>
        <w:t>N.J.S. 47:1A-1.1</w:t>
      </w:r>
      <w:r w:rsidR="000E3A13">
        <w:rPr>
          <w:rFonts w:ascii="Times New Roman" w:hAnsi="Times New Roman" w:cs="Times New Roman"/>
          <w:sz w:val="24"/>
          <w:szCs w:val="24"/>
        </w:rPr>
        <w:t xml:space="preserve">, </w:t>
      </w:r>
      <w:r w:rsidR="003442EC">
        <w:rPr>
          <w:rFonts w:ascii="Times New Roman" w:hAnsi="Times New Roman" w:cs="Times New Roman"/>
          <w:sz w:val="24"/>
          <w:szCs w:val="24"/>
        </w:rPr>
        <w:t xml:space="preserve">which </w:t>
      </w:r>
      <w:r>
        <w:rPr>
          <w:rFonts w:ascii="Times New Roman" w:hAnsi="Times New Roman" w:cs="Times New Roman"/>
          <w:sz w:val="24"/>
          <w:szCs w:val="24"/>
        </w:rPr>
        <w:t>recognizes that “records may be exempt from public access based upon authorities other than the exemptions enumerated within OPRA.”</w:t>
      </w:r>
      <w:r>
        <w:rPr>
          <w:rStyle w:val="FootnoteReference"/>
          <w:rFonts w:cs="Times New Roman"/>
          <w:sz w:val="24"/>
          <w:szCs w:val="24"/>
        </w:rPr>
        <w:footnoteReference w:id="12"/>
      </w:r>
      <w:r w:rsidR="00897826">
        <w:rPr>
          <w:rFonts w:ascii="Times New Roman" w:hAnsi="Times New Roman" w:cs="Times New Roman"/>
          <w:sz w:val="24"/>
          <w:szCs w:val="24"/>
        </w:rPr>
        <w:t xml:space="preserve"> Specifically, it states:</w:t>
      </w:r>
    </w:p>
    <w:p w:rsidR="00897826" w:rsidRDefault="00897826" w:rsidP="008722B9">
      <w:pPr>
        <w:spacing w:line="276" w:lineRule="auto"/>
        <w:ind w:firstLine="720"/>
        <w:jc w:val="both"/>
        <w:rPr>
          <w:rFonts w:ascii="Times New Roman" w:hAnsi="Times New Roman" w:cs="Times New Roman"/>
          <w:sz w:val="24"/>
          <w:szCs w:val="24"/>
        </w:rPr>
      </w:pPr>
    </w:p>
    <w:p w:rsidR="00897826" w:rsidRPr="003C6DC8" w:rsidRDefault="00897826" w:rsidP="00897826">
      <w:pPr>
        <w:spacing w:line="276" w:lineRule="auto"/>
        <w:ind w:left="720"/>
        <w:jc w:val="both"/>
        <w:rPr>
          <w:rFonts w:ascii="Times New Roman" w:hAnsi="Times New Roman" w:cs="Times New Roman"/>
          <w:sz w:val="24"/>
          <w:szCs w:val="24"/>
        </w:rPr>
      </w:pPr>
      <w:r w:rsidRPr="003C6DC8">
        <w:rPr>
          <w:rFonts w:ascii="Times New Roman" w:hAnsi="Times New Roman" w:cs="Times New Roman"/>
          <w:sz w:val="24"/>
          <w:szCs w:val="24"/>
        </w:rPr>
        <w:t>[A]ll government records shall be subject to public access unless exempt from such access by: [OPRA] as amended and supplemented; any other statute; resolution of either or both houses of the Legislature; regulation promulgated under the authority of any statute or Executive Order of the Governor…</w:t>
      </w:r>
      <w:r w:rsidRPr="003C6DC8">
        <w:rPr>
          <w:rStyle w:val="FootnoteReference"/>
          <w:rFonts w:cs="Times New Roman"/>
          <w:sz w:val="24"/>
          <w:szCs w:val="24"/>
        </w:rPr>
        <w:footnoteReference w:id="13"/>
      </w:r>
      <w:r w:rsidRPr="003C6DC8">
        <w:rPr>
          <w:rFonts w:ascii="Times New Roman" w:hAnsi="Times New Roman" w:cs="Times New Roman"/>
          <w:sz w:val="24"/>
          <w:szCs w:val="24"/>
        </w:rPr>
        <w:tab/>
      </w:r>
    </w:p>
    <w:p w:rsidR="008722B9" w:rsidRDefault="008722B9" w:rsidP="0028353A">
      <w:pPr>
        <w:spacing w:line="276" w:lineRule="auto"/>
        <w:ind w:firstLine="720"/>
        <w:jc w:val="both"/>
        <w:rPr>
          <w:rFonts w:ascii="Times New Roman" w:hAnsi="Times New Roman" w:cs="Times New Roman"/>
          <w:sz w:val="24"/>
          <w:szCs w:val="24"/>
        </w:rPr>
      </w:pPr>
    </w:p>
    <w:p w:rsidR="003442EC" w:rsidRDefault="00897826" w:rsidP="0089782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Court </w:t>
      </w:r>
      <w:r w:rsidR="007B6A0C">
        <w:rPr>
          <w:rFonts w:ascii="Times New Roman" w:hAnsi="Times New Roman" w:cs="Times New Roman"/>
          <w:sz w:val="24"/>
          <w:szCs w:val="24"/>
        </w:rPr>
        <w:t>said</w:t>
      </w:r>
      <w:bookmarkStart w:id="0" w:name="_GoBack"/>
      <w:bookmarkEnd w:id="0"/>
      <w:r>
        <w:rPr>
          <w:rFonts w:ascii="Times New Roman" w:hAnsi="Times New Roman" w:cs="Times New Roman"/>
          <w:sz w:val="24"/>
          <w:szCs w:val="24"/>
        </w:rPr>
        <w:t xml:space="preserve"> that “the plain language of the statute as well as judicial precedent make it clear that an exemption is statutorily recognized by OPRA if it is established by any of the authorities enumerated in </w:t>
      </w:r>
      <w:r>
        <w:rPr>
          <w:rFonts w:ascii="Times New Roman" w:hAnsi="Times New Roman" w:cs="Times New Roman"/>
          <w:i/>
          <w:sz w:val="24"/>
          <w:szCs w:val="24"/>
        </w:rPr>
        <w:t>N.J.S.A</w:t>
      </w:r>
      <w:r>
        <w:rPr>
          <w:rFonts w:ascii="Times New Roman" w:hAnsi="Times New Roman" w:cs="Times New Roman"/>
          <w:sz w:val="24"/>
          <w:szCs w:val="24"/>
        </w:rPr>
        <w:t xml:space="preserve"> 47:1A-1 or -9.” </w:t>
      </w:r>
      <w:r>
        <w:rPr>
          <w:rStyle w:val="FootnoteReference"/>
          <w:rFonts w:cs="Times New Roman"/>
          <w:sz w:val="24"/>
          <w:szCs w:val="24"/>
        </w:rPr>
        <w:footnoteReference w:id="14"/>
      </w:r>
      <w:r w:rsidR="006E0444">
        <w:rPr>
          <w:rFonts w:ascii="Times New Roman" w:hAnsi="Times New Roman" w:cs="Times New Roman"/>
          <w:sz w:val="24"/>
          <w:szCs w:val="24"/>
        </w:rPr>
        <w:t xml:space="preserve"> The court </w:t>
      </w:r>
      <w:r w:rsidR="000E3A13">
        <w:rPr>
          <w:rFonts w:ascii="Times New Roman" w:hAnsi="Times New Roman" w:cs="Times New Roman"/>
          <w:sz w:val="24"/>
          <w:szCs w:val="24"/>
        </w:rPr>
        <w:t>suggested</w:t>
      </w:r>
      <w:r w:rsidR="006E0444">
        <w:rPr>
          <w:rFonts w:ascii="Times New Roman" w:hAnsi="Times New Roman" w:cs="Times New Roman"/>
          <w:sz w:val="24"/>
          <w:szCs w:val="24"/>
        </w:rPr>
        <w:t xml:space="preserve"> that </w:t>
      </w:r>
      <w:r w:rsidR="000E3A13">
        <w:rPr>
          <w:rFonts w:ascii="Times New Roman" w:hAnsi="Times New Roman" w:cs="Times New Roman"/>
          <w:sz w:val="24"/>
          <w:szCs w:val="24"/>
        </w:rPr>
        <w:t xml:space="preserve">since </w:t>
      </w:r>
      <w:r w:rsidR="006E0444">
        <w:rPr>
          <w:rFonts w:ascii="Times New Roman" w:hAnsi="Times New Roman" w:cs="Times New Roman"/>
          <w:sz w:val="24"/>
          <w:szCs w:val="24"/>
        </w:rPr>
        <w:t xml:space="preserve">the Guidelines </w:t>
      </w:r>
      <w:r w:rsidR="000E3A13">
        <w:rPr>
          <w:rFonts w:ascii="Times New Roman" w:hAnsi="Times New Roman" w:cs="Times New Roman"/>
          <w:sz w:val="24"/>
          <w:szCs w:val="24"/>
        </w:rPr>
        <w:t xml:space="preserve">upon which </w:t>
      </w:r>
      <w:r w:rsidR="006E0444">
        <w:rPr>
          <w:rFonts w:ascii="Times New Roman" w:hAnsi="Times New Roman" w:cs="Times New Roman"/>
          <w:sz w:val="24"/>
          <w:szCs w:val="24"/>
        </w:rPr>
        <w:t>Defendants relied to explain why certain information was redacted</w:t>
      </w:r>
      <w:r w:rsidR="000E3A13">
        <w:rPr>
          <w:rFonts w:ascii="Times New Roman" w:hAnsi="Times New Roman" w:cs="Times New Roman"/>
          <w:sz w:val="24"/>
          <w:szCs w:val="24"/>
        </w:rPr>
        <w:t xml:space="preserve"> had been</w:t>
      </w:r>
      <w:r w:rsidR="006E0444">
        <w:rPr>
          <w:rFonts w:ascii="Times New Roman" w:hAnsi="Times New Roman" w:cs="Times New Roman"/>
          <w:sz w:val="24"/>
          <w:szCs w:val="24"/>
        </w:rPr>
        <w:t xml:space="preserve"> adopted pursuant to the authority of the Attorney General, </w:t>
      </w:r>
      <w:r w:rsidR="000E3A13">
        <w:rPr>
          <w:rFonts w:ascii="Times New Roman" w:hAnsi="Times New Roman" w:cs="Times New Roman"/>
          <w:sz w:val="24"/>
          <w:szCs w:val="24"/>
        </w:rPr>
        <w:t>they fell</w:t>
      </w:r>
      <w:r w:rsidR="006E0444">
        <w:rPr>
          <w:rFonts w:ascii="Times New Roman" w:hAnsi="Times New Roman" w:cs="Times New Roman"/>
          <w:sz w:val="24"/>
          <w:szCs w:val="24"/>
        </w:rPr>
        <w:t xml:space="preserve"> under the OPRA exemption of a public record or governmental record from public access.</w:t>
      </w:r>
      <w:r w:rsidR="006E0444">
        <w:rPr>
          <w:rStyle w:val="FootnoteReference"/>
          <w:rFonts w:cs="Times New Roman"/>
          <w:sz w:val="24"/>
          <w:szCs w:val="24"/>
        </w:rPr>
        <w:footnoteReference w:id="15"/>
      </w:r>
      <w:r w:rsidR="003A10FA">
        <w:rPr>
          <w:rFonts w:ascii="Times New Roman" w:hAnsi="Times New Roman" w:cs="Times New Roman"/>
          <w:sz w:val="24"/>
          <w:szCs w:val="24"/>
        </w:rPr>
        <w:t xml:space="preserve"> </w:t>
      </w:r>
      <w:r w:rsidR="003442EC">
        <w:rPr>
          <w:rFonts w:ascii="Times New Roman" w:hAnsi="Times New Roman" w:cs="Times New Roman"/>
          <w:sz w:val="24"/>
          <w:szCs w:val="24"/>
        </w:rPr>
        <w:t xml:space="preserve">As the Court explained, </w:t>
      </w:r>
    </w:p>
    <w:p w:rsidR="003442EC" w:rsidRDefault="003442EC" w:rsidP="00897826">
      <w:pPr>
        <w:spacing w:line="276" w:lineRule="auto"/>
        <w:jc w:val="both"/>
        <w:rPr>
          <w:rFonts w:ascii="Times New Roman" w:hAnsi="Times New Roman" w:cs="Times New Roman"/>
          <w:sz w:val="24"/>
          <w:szCs w:val="24"/>
        </w:rPr>
      </w:pPr>
    </w:p>
    <w:p w:rsidR="003442EC" w:rsidRDefault="000A5909" w:rsidP="003442EC">
      <w:pPr>
        <w:spacing w:line="276" w:lineRule="auto"/>
        <w:ind w:left="720" w:right="720"/>
        <w:jc w:val="both"/>
        <w:rPr>
          <w:rFonts w:ascii="Times New Roman" w:hAnsi="Times New Roman" w:cs="Times New Roman"/>
          <w:sz w:val="24"/>
          <w:szCs w:val="24"/>
        </w:rPr>
      </w:pPr>
      <w:r>
        <w:rPr>
          <w:rFonts w:ascii="Times New Roman" w:hAnsi="Times New Roman" w:cs="Times New Roman"/>
          <w:sz w:val="24"/>
          <w:szCs w:val="24"/>
        </w:rPr>
        <w:t>[w]</w:t>
      </w:r>
      <w:r w:rsidR="003442EC" w:rsidRPr="003442EC">
        <w:rPr>
          <w:rFonts w:ascii="Times New Roman" w:hAnsi="Times New Roman" w:cs="Times New Roman"/>
          <w:sz w:val="24"/>
          <w:szCs w:val="24"/>
        </w:rPr>
        <w:t>e reject plaintiff's assertion, which was mistakenly accepted by the trial judge, to confine review of excluded documents to </w:t>
      </w:r>
      <w:r w:rsidR="003442EC" w:rsidRPr="003442EC">
        <w:rPr>
          <w:rFonts w:ascii="Times New Roman" w:hAnsi="Times New Roman" w:cs="Times New Roman"/>
          <w:i/>
          <w:iCs/>
          <w:sz w:val="24"/>
          <w:szCs w:val="24"/>
        </w:rPr>
        <w:t>N.J.S.A.</w:t>
      </w:r>
      <w:r w:rsidR="003442EC" w:rsidRPr="003442EC">
        <w:rPr>
          <w:rFonts w:ascii="Times New Roman" w:hAnsi="Times New Roman" w:cs="Times New Roman"/>
          <w:sz w:val="24"/>
          <w:szCs w:val="24"/>
        </w:rPr>
        <w:t> 47:1A–1.1, without also considering the exceptions provided by </w:t>
      </w:r>
      <w:r w:rsidR="003442EC" w:rsidRPr="003442EC">
        <w:rPr>
          <w:rFonts w:ascii="Times New Roman" w:hAnsi="Times New Roman" w:cs="Times New Roman"/>
          <w:i/>
          <w:iCs/>
          <w:sz w:val="24"/>
          <w:szCs w:val="24"/>
        </w:rPr>
        <w:t>N.J.S.A.</w:t>
      </w:r>
      <w:r w:rsidR="003442EC" w:rsidRPr="003442EC">
        <w:rPr>
          <w:rFonts w:ascii="Times New Roman" w:hAnsi="Times New Roman" w:cs="Times New Roman"/>
          <w:sz w:val="24"/>
          <w:szCs w:val="24"/>
        </w:rPr>
        <w:t> 47:1A–9(a). Reading these statutory provisions together, </w:t>
      </w:r>
      <w:r w:rsidR="003442EC" w:rsidRPr="003442EC">
        <w:rPr>
          <w:rFonts w:ascii="Times New Roman" w:hAnsi="Times New Roman" w:cs="Times New Roman"/>
          <w:i/>
          <w:iCs/>
          <w:sz w:val="24"/>
          <w:szCs w:val="24"/>
        </w:rPr>
        <w:t>see</w:t>
      </w:r>
      <w:r w:rsidR="003442EC" w:rsidRPr="003442EC">
        <w:rPr>
          <w:rFonts w:ascii="Times New Roman" w:hAnsi="Times New Roman" w:cs="Times New Roman"/>
          <w:sz w:val="24"/>
          <w:szCs w:val="24"/>
        </w:rPr>
        <w:t> </w:t>
      </w:r>
      <w:r w:rsidR="003442EC" w:rsidRPr="003442EC">
        <w:rPr>
          <w:rFonts w:ascii="Times New Roman" w:hAnsi="Times New Roman" w:cs="Times New Roman"/>
          <w:i/>
          <w:iCs/>
          <w:sz w:val="24"/>
          <w:szCs w:val="24"/>
        </w:rPr>
        <w:t>Gilleran</w:t>
      </w:r>
      <w:r w:rsidR="003442EC" w:rsidRPr="003442EC">
        <w:rPr>
          <w:rFonts w:ascii="Times New Roman" w:hAnsi="Times New Roman" w:cs="Times New Roman"/>
          <w:sz w:val="24"/>
          <w:szCs w:val="24"/>
        </w:rPr>
        <w:t>, </w:t>
      </w:r>
      <w:r w:rsidR="003442EC" w:rsidRPr="003442EC">
        <w:rPr>
          <w:rFonts w:ascii="Times New Roman" w:hAnsi="Times New Roman" w:cs="Times New Roman"/>
          <w:i/>
          <w:iCs/>
          <w:sz w:val="24"/>
          <w:szCs w:val="24"/>
        </w:rPr>
        <w:t>supra</w:t>
      </w:r>
      <w:r w:rsidR="003442EC" w:rsidRPr="003442EC">
        <w:rPr>
          <w:rFonts w:ascii="Times New Roman" w:hAnsi="Times New Roman" w:cs="Times New Roman"/>
          <w:sz w:val="24"/>
          <w:szCs w:val="24"/>
        </w:rPr>
        <w:t>, 227 </w:t>
      </w:r>
      <w:r w:rsidR="003442EC" w:rsidRPr="003442EC">
        <w:rPr>
          <w:rFonts w:ascii="Times New Roman" w:hAnsi="Times New Roman" w:cs="Times New Roman"/>
          <w:i/>
          <w:iCs/>
          <w:sz w:val="24"/>
          <w:szCs w:val="24"/>
        </w:rPr>
        <w:t>N.J.</w:t>
      </w:r>
      <w:r w:rsidR="003442EC" w:rsidRPr="003442EC">
        <w:rPr>
          <w:rFonts w:ascii="Times New Roman" w:hAnsi="Times New Roman" w:cs="Times New Roman"/>
          <w:sz w:val="24"/>
          <w:szCs w:val="24"/>
        </w:rPr>
        <w:t> at 172 (stating when construing OPRA, courts do not “view the statutory words in isolation but ‘in context with related provisions so as to give sense to the legislation as a whole.’ ” (quoting </w:t>
      </w:r>
      <w:r w:rsidR="003442EC" w:rsidRPr="003442EC">
        <w:rPr>
          <w:rFonts w:ascii="Times New Roman" w:hAnsi="Times New Roman" w:cs="Times New Roman"/>
          <w:i/>
          <w:iCs/>
          <w:sz w:val="24"/>
          <w:szCs w:val="24"/>
        </w:rPr>
        <w:t>Murray v. Plainfield Rescue Squad</w:t>
      </w:r>
      <w:r w:rsidR="003442EC" w:rsidRPr="003442EC">
        <w:rPr>
          <w:rFonts w:ascii="Times New Roman" w:hAnsi="Times New Roman" w:cs="Times New Roman"/>
          <w:sz w:val="24"/>
          <w:szCs w:val="24"/>
        </w:rPr>
        <w:t>, 210 </w:t>
      </w:r>
      <w:r w:rsidR="003442EC" w:rsidRPr="003442EC">
        <w:rPr>
          <w:rFonts w:ascii="Times New Roman" w:hAnsi="Times New Roman" w:cs="Times New Roman"/>
          <w:i/>
          <w:iCs/>
          <w:sz w:val="24"/>
          <w:szCs w:val="24"/>
        </w:rPr>
        <w:t>N.J.</w:t>
      </w:r>
      <w:r w:rsidR="003442EC" w:rsidRPr="003442EC">
        <w:rPr>
          <w:rFonts w:ascii="Times New Roman" w:hAnsi="Times New Roman" w:cs="Times New Roman"/>
          <w:sz w:val="24"/>
          <w:szCs w:val="24"/>
        </w:rPr>
        <w:t> 581, 592 (2012))), we conclude defendants met their “burden of proving that the denial of access is authorized by law.” </w:t>
      </w:r>
      <w:r w:rsidR="003442EC" w:rsidRPr="003442EC">
        <w:rPr>
          <w:rFonts w:ascii="Times New Roman" w:hAnsi="Times New Roman" w:cs="Times New Roman"/>
          <w:i/>
          <w:iCs/>
          <w:sz w:val="24"/>
          <w:szCs w:val="24"/>
        </w:rPr>
        <w:t>N. Jersey Media Grp.</w:t>
      </w:r>
      <w:r w:rsidR="003442EC" w:rsidRPr="003442EC">
        <w:rPr>
          <w:rFonts w:ascii="Times New Roman" w:hAnsi="Times New Roman" w:cs="Times New Roman"/>
          <w:sz w:val="24"/>
          <w:szCs w:val="24"/>
        </w:rPr>
        <w:t>, </w:t>
      </w:r>
      <w:r w:rsidR="003442EC" w:rsidRPr="003442EC">
        <w:rPr>
          <w:rFonts w:ascii="Times New Roman" w:hAnsi="Times New Roman" w:cs="Times New Roman"/>
          <w:i/>
          <w:iCs/>
          <w:sz w:val="24"/>
          <w:szCs w:val="24"/>
        </w:rPr>
        <w:t>supra</w:t>
      </w:r>
      <w:r w:rsidR="003442EC" w:rsidRPr="003442EC">
        <w:rPr>
          <w:rFonts w:ascii="Times New Roman" w:hAnsi="Times New Roman" w:cs="Times New Roman"/>
          <w:sz w:val="24"/>
          <w:szCs w:val="24"/>
        </w:rPr>
        <w:t>, 447 </w:t>
      </w:r>
      <w:r w:rsidR="003442EC" w:rsidRPr="003442EC">
        <w:rPr>
          <w:rFonts w:ascii="Times New Roman" w:hAnsi="Times New Roman" w:cs="Times New Roman"/>
          <w:i/>
          <w:iCs/>
          <w:sz w:val="24"/>
          <w:szCs w:val="24"/>
        </w:rPr>
        <w:t>N.J. Super.</w:t>
      </w:r>
      <w:r w:rsidR="003442EC" w:rsidRPr="003442EC">
        <w:rPr>
          <w:rFonts w:ascii="Times New Roman" w:hAnsi="Times New Roman" w:cs="Times New Roman"/>
          <w:sz w:val="24"/>
          <w:szCs w:val="24"/>
        </w:rPr>
        <w:t> at 195 (quoting </w:t>
      </w:r>
      <w:r w:rsidR="003442EC" w:rsidRPr="003442EC">
        <w:rPr>
          <w:rFonts w:ascii="Times New Roman" w:hAnsi="Times New Roman" w:cs="Times New Roman"/>
          <w:i/>
          <w:iCs/>
          <w:sz w:val="24"/>
          <w:szCs w:val="24"/>
        </w:rPr>
        <w:t>N.J.S.A.</w:t>
      </w:r>
      <w:r w:rsidR="003442EC" w:rsidRPr="003442EC">
        <w:rPr>
          <w:rFonts w:ascii="Times New Roman" w:hAnsi="Times New Roman" w:cs="Times New Roman"/>
          <w:sz w:val="24"/>
          <w:szCs w:val="24"/>
        </w:rPr>
        <w:t xml:space="preserve"> 47:1A–6). The published Guidelines unequivocally require internal affairs investigation reports, such as those sought by plaintiff's OPRA request, to remain confidential as to the complainant and the officer against whom </w:t>
      </w:r>
      <w:r w:rsidR="003442EC" w:rsidRPr="003442EC">
        <w:rPr>
          <w:rFonts w:ascii="Times New Roman" w:hAnsi="Times New Roman" w:cs="Times New Roman"/>
          <w:sz w:val="24"/>
          <w:szCs w:val="24"/>
        </w:rPr>
        <w:lastRenderedPageBreak/>
        <w:t>the complaint was directed. Thus, public access was not denied; rather, it was limited as recognized by </w:t>
      </w:r>
      <w:r w:rsidR="003442EC" w:rsidRPr="003442EC">
        <w:rPr>
          <w:rFonts w:ascii="Times New Roman" w:hAnsi="Times New Roman" w:cs="Times New Roman"/>
          <w:i/>
          <w:iCs/>
          <w:sz w:val="24"/>
          <w:szCs w:val="24"/>
        </w:rPr>
        <w:t>N.J.S.A.</w:t>
      </w:r>
      <w:r w:rsidR="003442EC" w:rsidRPr="003442EC">
        <w:rPr>
          <w:rFonts w:ascii="Times New Roman" w:hAnsi="Times New Roman" w:cs="Times New Roman"/>
          <w:sz w:val="24"/>
          <w:szCs w:val="24"/>
        </w:rPr>
        <w:t> 47:1A–9(a).</w:t>
      </w:r>
      <w:r w:rsidR="003442EC">
        <w:rPr>
          <w:rStyle w:val="FootnoteReference"/>
          <w:rFonts w:cs="Times New Roman"/>
          <w:sz w:val="24"/>
          <w:szCs w:val="24"/>
        </w:rPr>
        <w:footnoteReference w:id="16"/>
      </w:r>
    </w:p>
    <w:p w:rsidR="003442EC" w:rsidRPr="003442EC" w:rsidRDefault="003442EC" w:rsidP="003442EC">
      <w:pPr>
        <w:spacing w:line="276" w:lineRule="auto"/>
        <w:ind w:left="720" w:right="720"/>
        <w:jc w:val="both"/>
        <w:rPr>
          <w:rFonts w:ascii="Times New Roman" w:hAnsi="Times New Roman" w:cs="Times New Roman"/>
          <w:sz w:val="24"/>
          <w:szCs w:val="24"/>
        </w:rPr>
      </w:pPr>
    </w:p>
    <w:p w:rsidR="005E572A" w:rsidRDefault="005E572A" w:rsidP="0071555D">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rsidR="00E524DD" w:rsidRDefault="00E524DD" w:rsidP="00574E12">
      <w:pPr>
        <w:spacing w:line="276" w:lineRule="auto"/>
        <w:ind w:left="720"/>
        <w:jc w:val="center"/>
        <w:rPr>
          <w:rFonts w:ascii="Times New Roman" w:eastAsia="Times New Roman" w:hAnsi="Times New Roman" w:cs="Times New Roman"/>
          <w:sz w:val="24"/>
          <w:szCs w:val="24"/>
        </w:rPr>
      </w:pPr>
    </w:p>
    <w:p w:rsidR="00574E12" w:rsidRDefault="00465C9B" w:rsidP="00E524DD">
      <w:p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E524DD">
        <w:rPr>
          <w:rFonts w:ascii="Times New Roman" w:hAnsi="Times New Roman" w:cs="Times New Roman"/>
          <w:sz w:val="24"/>
          <w:szCs w:val="24"/>
        </w:rPr>
        <w:t xml:space="preserve">Staff </w:t>
      </w:r>
      <w:r w:rsidR="00574E12">
        <w:rPr>
          <w:rFonts w:ascii="Times New Roman" w:hAnsi="Times New Roman" w:cs="Times New Roman"/>
          <w:sz w:val="24"/>
          <w:szCs w:val="24"/>
        </w:rPr>
        <w:t xml:space="preserve">seeks </w:t>
      </w:r>
      <w:r w:rsidR="00E524DD">
        <w:rPr>
          <w:rFonts w:ascii="Times New Roman" w:hAnsi="Times New Roman" w:cs="Times New Roman"/>
          <w:sz w:val="24"/>
          <w:szCs w:val="24"/>
        </w:rPr>
        <w:t xml:space="preserve">authorization </w:t>
      </w:r>
      <w:r w:rsidR="00574E12">
        <w:rPr>
          <w:rFonts w:ascii="Times New Roman" w:hAnsi="Times New Roman" w:cs="Times New Roman"/>
          <w:sz w:val="24"/>
          <w:szCs w:val="24"/>
        </w:rPr>
        <w:t xml:space="preserve">to conduct additional research and outreach </w:t>
      </w:r>
      <w:r w:rsidR="00D80F8C">
        <w:rPr>
          <w:rFonts w:ascii="Times New Roman" w:hAnsi="Times New Roman" w:cs="Times New Roman"/>
          <w:sz w:val="24"/>
          <w:szCs w:val="24"/>
        </w:rPr>
        <w:t>regarding</w:t>
      </w:r>
      <w:r w:rsidR="00574E12">
        <w:rPr>
          <w:rFonts w:ascii="Times New Roman" w:hAnsi="Times New Roman" w:cs="Times New Roman"/>
          <w:sz w:val="24"/>
          <w:szCs w:val="24"/>
        </w:rPr>
        <w:t xml:space="preserve"> the issue</w:t>
      </w:r>
      <w:r w:rsidR="00D80F8C">
        <w:rPr>
          <w:rFonts w:ascii="Times New Roman" w:hAnsi="Times New Roman" w:cs="Times New Roman"/>
          <w:sz w:val="24"/>
          <w:szCs w:val="24"/>
        </w:rPr>
        <w:t>s</w:t>
      </w:r>
      <w:r w:rsidR="00574E12">
        <w:rPr>
          <w:rFonts w:ascii="Times New Roman" w:hAnsi="Times New Roman" w:cs="Times New Roman"/>
          <w:sz w:val="24"/>
          <w:szCs w:val="24"/>
        </w:rPr>
        <w:t xml:space="preserve"> </w:t>
      </w:r>
      <w:r w:rsidR="00E524DD">
        <w:rPr>
          <w:rFonts w:ascii="Times New Roman" w:hAnsi="Times New Roman" w:cs="Times New Roman"/>
          <w:sz w:val="24"/>
          <w:szCs w:val="24"/>
        </w:rPr>
        <w:t xml:space="preserve">identified </w:t>
      </w:r>
      <w:r w:rsidR="00574E12">
        <w:rPr>
          <w:rFonts w:ascii="Times New Roman" w:hAnsi="Times New Roman" w:cs="Times New Roman"/>
          <w:sz w:val="24"/>
          <w:szCs w:val="24"/>
        </w:rPr>
        <w:t xml:space="preserve">in </w:t>
      </w:r>
      <w:r w:rsidR="0094647B">
        <w:rPr>
          <w:rFonts w:ascii="Times New Roman" w:hAnsi="Times New Roman" w:cs="Times New Roman"/>
          <w:i/>
          <w:sz w:val="24"/>
          <w:szCs w:val="24"/>
        </w:rPr>
        <w:t>Paff</w:t>
      </w:r>
      <w:r w:rsidR="00060089" w:rsidRPr="00060089">
        <w:rPr>
          <w:rFonts w:ascii="Times New Roman" w:hAnsi="Times New Roman" w:cs="Times New Roman"/>
          <w:i/>
          <w:sz w:val="24"/>
          <w:szCs w:val="24"/>
        </w:rPr>
        <w:t xml:space="preserve"> v. </w:t>
      </w:r>
      <w:r w:rsidR="0094647B">
        <w:rPr>
          <w:rFonts w:ascii="Times New Roman" w:hAnsi="Times New Roman" w:cs="Times New Roman"/>
          <w:i/>
          <w:sz w:val="24"/>
          <w:szCs w:val="24"/>
        </w:rPr>
        <w:t>Bergen County</w:t>
      </w:r>
      <w:r w:rsidR="00060089">
        <w:rPr>
          <w:rFonts w:ascii="Times New Roman" w:hAnsi="Times New Roman" w:cs="Times New Roman"/>
          <w:sz w:val="24"/>
          <w:szCs w:val="24"/>
        </w:rPr>
        <w:t xml:space="preserve"> </w:t>
      </w:r>
      <w:r w:rsidR="00E524DD">
        <w:rPr>
          <w:rFonts w:ascii="Times New Roman" w:hAnsi="Times New Roman" w:cs="Times New Roman"/>
          <w:sz w:val="24"/>
          <w:szCs w:val="24"/>
        </w:rPr>
        <w:t xml:space="preserve">to </w:t>
      </w:r>
      <w:r w:rsidR="007D3DC1">
        <w:rPr>
          <w:rFonts w:ascii="Times New Roman" w:hAnsi="Times New Roman" w:cs="Times New Roman"/>
          <w:sz w:val="24"/>
          <w:szCs w:val="24"/>
        </w:rPr>
        <w:t>determine</w:t>
      </w:r>
      <w:r w:rsidR="00E524DD">
        <w:rPr>
          <w:rFonts w:ascii="Times New Roman" w:hAnsi="Times New Roman" w:cs="Times New Roman"/>
          <w:sz w:val="24"/>
          <w:szCs w:val="24"/>
        </w:rPr>
        <w:t xml:space="preserve"> if any modification to the statute could be of use in achieving predictable and consistent outcomes in the cases that arise moving forward</w:t>
      </w:r>
      <w:r w:rsidR="00574E12">
        <w:rPr>
          <w:rFonts w:ascii="Times New Roman" w:hAnsi="Times New Roman" w:cs="Times New Roman"/>
          <w:sz w:val="24"/>
          <w:szCs w:val="24"/>
        </w:rPr>
        <w:t>.</w:t>
      </w:r>
      <w:r w:rsidR="00574E12" w:rsidRPr="00574E12">
        <w:rPr>
          <w:rFonts w:ascii="Times New Roman" w:hAnsi="Times New Roman" w:cs="Times New Roman"/>
          <w:sz w:val="24"/>
          <w:szCs w:val="24"/>
        </w:rPr>
        <w:t xml:space="preserve"> </w:t>
      </w:r>
      <w:r w:rsidR="00E524DD">
        <w:rPr>
          <w:rFonts w:ascii="Times New Roman" w:hAnsi="Times New Roman" w:cs="Times New Roman"/>
          <w:sz w:val="24"/>
          <w:szCs w:val="24"/>
        </w:rPr>
        <w:t>To this time</w:t>
      </w:r>
      <w:r w:rsidR="00574E12">
        <w:rPr>
          <w:rFonts w:ascii="Times New Roman" w:hAnsi="Times New Roman" w:cs="Times New Roman"/>
          <w:sz w:val="24"/>
          <w:szCs w:val="24"/>
        </w:rPr>
        <w:t xml:space="preserve">, no other cases have addressed this specific issue with regard to </w:t>
      </w:r>
      <w:r w:rsidR="0094647B">
        <w:rPr>
          <w:rFonts w:ascii="Times New Roman" w:hAnsi="Times New Roman" w:cs="Times New Roman"/>
          <w:sz w:val="24"/>
          <w:szCs w:val="24"/>
        </w:rPr>
        <w:t>OPRA</w:t>
      </w:r>
      <w:r w:rsidR="00792BE7">
        <w:rPr>
          <w:rFonts w:ascii="Times New Roman" w:hAnsi="Times New Roman" w:cs="Times New Roman"/>
          <w:sz w:val="24"/>
          <w:szCs w:val="24"/>
        </w:rPr>
        <w:t xml:space="preserve">, as it relates to </w:t>
      </w:r>
      <w:r w:rsidR="0094647B">
        <w:rPr>
          <w:rFonts w:ascii="Times New Roman" w:hAnsi="Times New Roman" w:cs="Times New Roman"/>
          <w:sz w:val="24"/>
          <w:szCs w:val="24"/>
        </w:rPr>
        <w:t>exemption of procedures adopted by the county.</w:t>
      </w:r>
    </w:p>
    <w:p w:rsidR="00211869" w:rsidRPr="008A75F6" w:rsidRDefault="00211869" w:rsidP="00CA6B90">
      <w:pPr>
        <w:spacing w:line="276" w:lineRule="auto"/>
        <w:jc w:val="both"/>
        <w:rPr>
          <w:rFonts w:ascii="Times New Roman" w:eastAsia="Times New Roman" w:hAnsi="Times New Roman" w:cs="Times New Roman"/>
          <w:sz w:val="24"/>
          <w:szCs w:val="24"/>
        </w:rPr>
      </w:pPr>
    </w:p>
    <w:sectPr w:rsidR="00211869" w:rsidRPr="008A75F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C9B" w:rsidRDefault="00465C9B" w:rsidP="005E572A">
      <w:r>
        <w:separator/>
      </w:r>
    </w:p>
  </w:endnote>
  <w:endnote w:type="continuationSeparator" w:id="0">
    <w:p w:rsidR="00465C9B" w:rsidRDefault="00465C9B" w:rsidP="005E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C9B" w:rsidRPr="00411264" w:rsidRDefault="00465C9B" w:rsidP="00664090">
    <w:pPr>
      <w:rPr>
        <w:rFonts w:ascii="Times New Roman" w:hAnsi="Times New Roman" w:cs="Times New Roman"/>
        <w:sz w:val="20"/>
        <w:szCs w:val="20"/>
      </w:rPr>
    </w:pPr>
    <w:r w:rsidRPr="0074698C">
      <w:rPr>
        <w:rFonts w:ascii="Times New Roman" w:hAnsi="Times New Roman" w:cs="Times New Roman"/>
        <w:sz w:val="20"/>
        <w:szCs w:val="20"/>
      </w:rPr>
      <w:t>Memorandum</w:t>
    </w:r>
    <w:r w:rsidRPr="00664090">
      <w:rPr>
        <w:rFonts w:ascii="Times New Roman" w:hAnsi="Times New Roman" w:cs="Times New Roman"/>
        <w:sz w:val="20"/>
        <w:szCs w:val="20"/>
      </w:rPr>
      <w:t xml:space="preserve"> - </w:t>
    </w:r>
    <w:r w:rsidR="00CA29B6" w:rsidRPr="00CA29B6">
      <w:rPr>
        <w:rFonts w:ascii="Times New Roman" w:hAnsi="Times New Roman" w:cs="Times New Roman"/>
        <w:sz w:val="20"/>
        <w:szCs w:val="20"/>
      </w:rPr>
      <w:t>Open Public Meetings Act N.J.S. 10:4-12(b) (8); N.J.S. 10:4-14</w:t>
    </w:r>
    <w:r w:rsidR="003A10FA">
      <w:rPr>
        <w:rFonts w:ascii="Times New Roman" w:hAnsi="Times New Roman" w:cs="Times New Roman"/>
        <w:sz w:val="20"/>
        <w:szCs w:val="20"/>
      </w:rPr>
      <w:t xml:space="preserve"> </w:t>
    </w:r>
    <w:r w:rsidR="00411264">
      <w:rPr>
        <w:rFonts w:ascii="Times New Roman" w:hAnsi="Times New Roman" w:cs="Times New Roman"/>
        <w:sz w:val="20"/>
        <w:szCs w:val="20"/>
      </w:rPr>
      <w:t xml:space="preserve">– </w:t>
    </w:r>
    <w:r w:rsidR="003A10FA">
      <w:rPr>
        <w:rFonts w:ascii="Times New Roman" w:hAnsi="Times New Roman" w:cs="Times New Roman"/>
        <w:sz w:val="20"/>
        <w:szCs w:val="20"/>
      </w:rPr>
      <w:t>November 5</w:t>
    </w:r>
    <w:r w:rsidR="00CA29B6">
      <w:rPr>
        <w:rFonts w:ascii="Times New Roman" w:hAnsi="Times New Roman" w:cs="Times New Roman"/>
        <w:sz w:val="20"/>
        <w:szCs w:val="20"/>
      </w:rPr>
      <w:t>, 2018</w:t>
    </w:r>
    <w:r w:rsidRPr="0074698C">
      <w:rPr>
        <w:rFonts w:ascii="Times New Roman" w:hAnsi="Times New Roman" w:cs="Times New Roman"/>
        <w:sz w:val="20"/>
        <w:szCs w:val="20"/>
      </w:rPr>
      <w:t xml:space="preserve"> – Page </w:t>
    </w:r>
    <w:r w:rsidRPr="0074698C">
      <w:rPr>
        <w:rFonts w:ascii="Times New Roman" w:hAnsi="Times New Roman" w:cs="Times New Roman"/>
        <w:sz w:val="20"/>
        <w:szCs w:val="20"/>
      </w:rPr>
      <w:fldChar w:fldCharType="begin"/>
    </w:r>
    <w:r w:rsidRPr="0074698C">
      <w:rPr>
        <w:rFonts w:ascii="Times New Roman" w:hAnsi="Times New Roman" w:cs="Times New Roman"/>
        <w:sz w:val="20"/>
        <w:szCs w:val="20"/>
      </w:rPr>
      <w:instrText xml:space="preserve"> PAGE   \* MERGEFORMAT </w:instrText>
    </w:r>
    <w:r w:rsidRPr="0074698C">
      <w:rPr>
        <w:rFonts w:ascii="Times New Roman" w:hAnsi="Times New Roman" w:cs="Times New Roman"/>
        <w:sz w:val="20"/>
        <w:szCs w:val="20"/>
      </w:rPr>
      <w:fldChar w:fldCharType="separate"/>
    </w:r>
    <w:r w:rsidR="007B6A0C">
      <w:rPr>
        <w:rFonts w:ascii="Times New Roman" w:hAnsi="Times New Roman" w:cs="Times New Roman"/>
        <w:noProof/>
        <w:sz w:val="20"/>
        <w:szCs w:val="20"/>
      </w:rPr>
      <w:t>3</w:t>
    </w:r>
    <w:r w:rsidRPr="0074698C">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C9B" w:rsidRDefault="00465C9B" w:rsidP="005E572A">
      <w:r>
        <w:separator/>
      </w:r>
    </w:p>
  </w:footnote>
  <w:footnote w:type="continuationSeparator" w:id="0">
    <w:p w:rsidR="00465C9B" w:rsidRDefault="00465C9B" w:rsidP="005E572A">
      <w:r>
        <w:continuationSeparator/>
      </w:r>
    </w:p>
  </w:footnote>
  <w:footnote w:id="1">
    <w:p w:rsidR="0057667D" w:rsidRPr="00FB03C2" w:rsidRDefault="0057667D" w:rsidP="0057667D">
      <w:pPr>
        <w:pStyle w:val="FootnoteText"/>
      </w:pPr>
      <w:r>
        <w:rPr>
          <w:rStyle w:val="FootnoteReference"/>
        </w:rPr>
        <w:footnoteRef/>
      </w:r>
      <w:r>
        <w:t xml:space="preserve"> </w:t>
      </w:r>
      <w:r w:rsidR="004540CE" w:rsidRPr="004540CE">
        <w:rPr>
          <w:rFonts w:cs="Times New Roman"/>
          <w:i/>
        </w:rPr>
        <w:t xml:space="preserve">Paff v. Bergen County, </w:t>
      </w:r>
      <w:r w:rsidR="004540CE" w:rsidRPr="004540CE">
        <w:rPr>
          <w:rFonts w:cs="Times New Roman"/>
        </w:rPr>
        <w:t>2017</w:t>
      </w:r>
      <w:r w:rsidR="00FB03C2">
        <w:rPr>
          <w:rFonts w:cs="Times New Roman"/>
        </w:rPr>
        <w:t xml:space="preserve"> </w:t>
      </w:r>
      <w:r w:rsidR="00FB03C2" w:rsidRPr="00FB03C2">
        <w:rPr>
          <w:rFonts w:cs="Times New Roman"/>
        </w:rPr>
        <w:t>WL 957735</w:t>
      </w:r>
      <w:r w:rsidR="00AF1F87">
        <w:rPr>
          <w:rFonts w:cs="Times New Roman"/>
        </w:rPr>
        <w:t xml:space="preserve"> (App. Div. 2017)</w:t>
      </w:r>
      <w:r w:rsidR="004540CE" w:rsidRPr="00FB03C2">
        <w:rPr>
          <w:rFonts w:cs="Times New Roman"/>
        </w:rPr>
        <w:t>.</w:t>
      </w:r>
    </w:p>
  </w:footnote>
  <w:footnote w:id="2">
    <w:p w:rsidR="00B06AA2" w:rsidRDefault="00B06AA2">
      <w:pPr>
        <w:pStyle w:val="FootnoteText"/>
      </w:pPr>
      <w:r>
        <w:rPr>
          <w:rStyle w:val="FootnoteReference"/>
        </w:rPr>
        <w:footnoteRef/>
      </w:r>
      <w:r>
        <w:t xml:space="preserve"> </w:t>
      </w:r>
      <w:r>
        <w:rPr>
          <w:i/>
        </w:rPr>
        <w:t>Id</w:t>
      </w:r>
      <w:r w:rsidR="00FB03C2">
        <w:t xml:space="preserve"> at 1</w:t>
      </w:r>
      <w:r>
        <w:t>.</w:t>
      </w:r>
    </w:p>
  </w:footnote>
  <w:footnote w:id="3">
    <w:p w:rsidR="00237883" w:rsidRDefault="00237883">
      <w:pPr>
        <w:pStyle w:val="FootnoteText"/>
      </w:pPr>
      <w:r>
        <w:rPr>
          <w:rStyle w:val="FootnoteReference"/>
        </w:rPr>
        <w:footnoteRef/>
      </w:r>
      <w:r>
        <w:t xml:space="preserve"> </w:t>
      </w:r>
      <w:r>
        <w:rPr>
          <w:i/>
        </w:rPr>
        <w:t>Id</w:t>
      </w:r>
      <w:r>
        <w:t xml:space="preserve"> at 1.</w:t>
      </w:r>
    </w:p>
  </w:footnote>
  <w:footnote w:id="4">
    <w:p w:rsidR="00237883" w:rsidRDefault="00237883">
      <w:pPr>
        <w:pStyle w:val="FootnoteText"/>
      </w:pPr>
      <w:r>
        <w:rPr>
          <w:rStyle w:val="FootnoteReference"/>
        </w:rPr>
        <w:footnoteRef/>
      </w:r>
      <w:r>
        <w:t xml:space="preserve"> </w:t>
      </w:r>
      <w:r>
        <w:rPr>
          <w:i/>
        </w:rPr>
        <w:t>Id</w:t>
      </w:r>
      <w:r>
        <w:t xml:space="preserve"> at 1.</w:t>
      </w:r>
    </w:p>
  </w:footnote>
  <w:footnote w:id="5">
    <w:p w:rsidR="00C64B74" w:rsidRDefault="00C64B74">
      <w:pPr>
        <w:pStyle w:val="FootnoteText"/>
      </w:pPr>
      <w:r>
        <w:rPr>
          <w:rStyle w:val="FootnoteReference"/>
        </w:rPr>
        <w:footnoteRef/>
      </w:r>
      <w:r>
        <w:t xml:space="preserve"> </w:t>
      </w:r>
      <w:r>
        <w:rPr>
          <w:i/>
        </w:rPr>
        <w:t>Id</w:t>
      </w:r>
      <w:r>
        <w:t xml:space="preserve"> at 2.</w:t>
      </w:r>
    </w:p>
  </w:footnote>
  <w:footnote w:id="6">
    <w:p w:rsidR="00C64B74" w:rsidRDefault="00C64B74" w:rsidP="00C64B74">
      <w:pPr>
        <w:pStyle w:val="FootnoteText"/>
      </w:pPr>
      <w:r>
        <w:rPr>
          <w:rStyle w:val="FootnoteReference"/>
        </w:rPr>
        <w:footnoteRef/>
      </w:r>
      <w:r>
        <w:t xml:space="preserve"> </w:t>
      </w:r>
      <w:r>
        <w:rPr>
          <w:i/>
        </w:rPr>
        <w:t>Id</w:t>
      </w:r>
      <w:r>
        <w:t xml:space="preserve"> at 2.</w:t>
      </w:r>
    </w:p>
  </w:footnote>
  <w:footnote w:id="7">
    <w:p w:rsidR="00F45CB5" w:rsidRDefault="00F45CB5">
      <w:pPr>
        <w:pStyle w:val="FootnoteText"/>
      </w:pPr>
      <w:r>
        <w:rPr>
          <w:rStyle w:val="FootnoteReference"/>
        </w:rPr>
        <w:footnoteRef/>
      </w:r>
      <w:r>
        <w:t xml:space="preserve"> </w:t>
      </w:r>
      <w:r w:rsidR="00495832">
        <w:rPr>
          <w:i/>
        </w:rPr>
        <w:t>Id</w:t>
      </w:r>
      <w:r w:rsidR="00495832">
        <w:t xml:space="preserve"> at 2.</w:t>
      </w:r>
    </w:p>
  </w:footnote>
  <w:footnote w:id="8">
    <w:p w:rsidR="008722B9" w:rsidRDefault="008722B9">
      <w:pPr>
        <w:pStyle w:val="FootnoteText"/>
      </w:pPr>
      <w:r>
        <w:rPr>
          <w:rStyle w:val="FootnoteReference"/>
        </w:rPr>
        <w:footnoteRef/>
      </w:r>
      <w:r>
        <w:t xml:space="preserve"> </w:t>
      </w:r>
      <w:r>
        <w:rPr>
          <w:i/>
        </w:rPr>
        <w:t>Id</w:t>
      </w:r>
      <w:r>
        <w:t xml:space="preserve"> at 1.</w:t>
      </w:r>
    </w:p>
  </w:footnote>
  <w:footnote w:id="9">
    <w:p w:rsidR="008722B9" w:rsidRDefault="008722B9">
      <w:pPr>
        <w:pStyle w:val="FootnoteText"/>
      </w:pPr>
      <w:r>
        <w:rPr>
          <w:rStyle w:val="FootnoteReference"/>
        </w:rPr>
        <w:footnoteRef/>
      </w:r>
      <w:r>
        <w:t xml:space="preserve"> </w:t>
      </w:r>
      <w:r w:rsidRPr="008722B9">
        <w:rPr>
          <w:rFonts w:cs="Times New Roman"/>
        </w:rPr>
        <w:t>N.J.S. 47:1A-1.1</w:t>
      </w:r>
    </w:p>
  </w:footnote>
  <w:footnote w:id="10">
    <w:p w:rsidR="00116354" w:rsidRDefault="00116354">
      <w:pPr>
        <w:pStyle w:val="FootnoteText"/>
      </w:pPr>
      <w:r>
        <w:rPr>
          <w:rStyle w:val="FootnoteReference"/>
        </w:rPr>
        <w:footnoteRef/>
      </w:r>
      <w:r>
        <w:t xml:space="preserve"> </w:t>
      </w:r>
      <w:r w:rsidRPr="004540CE">
        <w:rPr>
          <w:rFonts w:cs="Times New Roman"/>
          <w:i/>
        </w:rPr>
        <w:t xml:space="preserve">Paff v. Bergen County, </w:t>
      </w:r>
      <w:r w:rsidRPr="004540CE">
        <w:rPr>
          <w:rFonts w:cs="Times New Roman"/>
        </w:rPr>
        <w:t>2017</w:t>
      </w:r>
      <w:r>
        <w:rPr>
          <w:rFonts w:cs="Times New Roman"/>
        </w:rPr>
        <w:t xml:space="preserve"> </w:t>
      </w:r>
      <w:r w:rsidRPr="00FB03C2">
        <w:rPr>
          <w:rFonts w:cs="Times New Roman"/>
        </w:rPr>
        <w:t>WL 957735</w:t>
      </w:r>
      <w:r w:rsidR="003C6DC8">
        <w:rPr>
          <w:rFonts w:cs="Times New Roman"/>
        </w:rPr>
        <w:t>, *3</w:t>
      </w:r>
      <w:r w:rsidRPr="00FB03C2">
        <w:rPr>
          <w:rFonts w:cs="Times New Roman"/>
        </w:rPr>
        <w:t>.</w:t>
      </w:r>
      <w:r>
        <w:rPr>
          <w:rFonts w:cs="Times New Roman"/>
        </w:rPr>
        <w:t xml:space="preserve"> </w:t>
      </w:r>
    </w:p>
  </w:footnote>
  <w:footnote w:id="11">
    <w:p w:rsidR="00116354" w:rsidRPr="00116354" w:rsidRDefault="00116354">
      <w:pPr>
        <w:pStyle w:val="FootnoteText"/>
      </w:pPr>
      <w:r>
        <w:rPr>
          <w:rStyle w:val="FootnoteReference"/>
        </w:rPr>
        <w:footnoteRef/>
      </w:r>
      <w:r>
        <w:t xml:space="preserve"> </w:t>
      </w:r>
      <w:r w:rsidR="006A1CCD">
        <w:rPr>
          <w:i/>
        </w:rPr>
        <w:t>Id</w:t>
      </w:r>
      <w:r>
        <w:t xml:space="preserve"> at 3.</w:t>
      </w:r>
    </w:p>
  </w:footnote>
  <w:footnote w:id="12">
    <w:p w:rsidR="006A1CCD" w:rsidRDefault="006A1CCD">
      <w:pPr>
        <w:pStyle w:val="FootnoteText"/>
      </w:pPr>
      <w:r>
        <w:rPr>
          <w:rStyle w:val="FootnoteReference"/>
        </w:rPr>
        <w:footnoteRef/>
      </w:r>
      <w:r>
        <w:t xml:space="preserve"> </w:t>
      </w:r>
      <w:r>
        <w:rPr>
          <w:i/>
        </w:rPr>
        <w:t xml:space="preserve">Id </w:t>
      </w:r>
      <w:r>
        <w:t>at 3.</w:t>
      </w:r>
    </w:p>
  </w:footnote>
  <w:footnote w:id="13">
    <w:p w:rsidR="00897826" w:rsidRDefault="00897826">
      <w:pPr>
        <w:pStyle w:val="FootnoteText"/>
      </w:pPr>
      <w:r>
        <w:rPr>
          <w:rStyle w:val="FootnoteReference"/>
        </w:rPr>
        <w:footnoteRef/>
      </w:r>
      <w:r>
        <w:t xml:space="preserve"> </w:t>
      </w:r>
      <w:r w:rsidRPr="008722B9">
        <w:rPr>
          <w:rFonts w:cs="Times New Roman"/>
        </w:rPr>
        <w:t>N.J.S. 47:1A-1.1</w:t>
      </w:r>
    </w:p>
  </w:footnote>
  <w:footnote w:id="14">
    <w:p w:rsidR="00897826" w:rsidRDefault="00897826">
      <w:pPr>
        <w:pStyle w:val="FootnoteText"/>
      </w:pPr>
      <w:r>
        <w:rPr>
          <w:rStyle w:val="FootnoteReference"/>
        </w:rPr>
        <w:footnoteRef/>
      </w:r>
      <w:r>
        <w:t xml:space="preserve"> </w:t>
      </w:r>
      <w:r w:rsidRPr="004540CE">
        <w:rPr>
          <w:rFonts w:cs="Times New Roman"/>
          <w:i/>
        </w:rPr>
        <w:t xml:space="preserve">Paff v. Bergen County, </w:t>
      </w:r>
      <w:r w:rsidRPr="004540CE">
        <w:rPr>
          <w:rFonts w:cs="Times New Roman"/>
        </w:rPr>
        <w:t>2017</w:t>
      </w:r>
      <w:r>
        <w:rPr>
          <w:rFonts w:cs="Times New Roman"/>
        </w:rPr>
        <w:t xml:space="preserve"> </w:t>
      </w:r>
      <w:r w:rsidRPr="00FB03C2">
        <w:rPr>
          <w:rFonts w:cs="Times New Roman"/>
        </w:rPr>
        <w:t>WL 957735</w:t>
      </w:r>
      <w:r w:rsidR="003C6DC8">
        <w:rPr>
          <w:rFonts w:cs="Times New Roman"/>
        </w:rPr>
        <w:t>, *3</w:t>
      </w:r>
      <w:r w:rsidRPr="00FB03C2">
        <w:rPr>
          <w:rFonts w:cs="Times New Roman"/>
        </w:rPr>
        <w:t>.</w:t>
      </w:r>
    </w:p>
  </w:footnote>
  <w:footnote w:id="15">
    <w:p w:rsidR="006E0444" w:rsidRDefault="006E0444">
      <w:pPr>
        <w:pStyle w:val="FootnoteText"/>
      </w:pPr>
      <w:r>
        <w:rPr>
          <w:rStyle w:val="FootnoteReference"/>
        </w:rPr>
        <w:footnoteRef/>
      </w:r>
      <w:r>
        <w:t xml:space="preserve"> </w:t>
      </w:r>
      <w:r>
        <w:rPr>
          <w:i/>
        </w:rPr>
        <w:t>Id</w:t>
      </w:r>
      <w:r>
        <w:t>.</w:t>
      </w:r>
    </w:p>
  </w:footnote>
  <w:footnote w:id="16">
    <w:p w:rsidR="003442EC" w:rsidRDefault="003442EC">
      <w:pPr>
        <w:pStyle w:val="FootnoteText"/>
      </w:pPr>
      <w:r>
        <w:rPr>
          <w:rStyle w:val="FootnoteReference"/>
        </w:rPr>
        <w:footnoteRef/>
      </w:r>
      <w:r>
        <w:t xml:space="preserve"> </w:t>
      </w:r>
      <w:r>
        <w:rPr>
          <w:i/>
        </w:rPr>
        <w:t xml:space="preserve">Id </w:t>
      </w:r>
      <w:r>
        <w:t>at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B7317"/>
    <w:multiLevelType w:val="hybridMultilevel"/>
    <w:tmpl w:val="0F80E808"/>
    <w:lvl w:ilvl="0" w:tplc="4AC60B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2A"/>
    <w:rsid w:val="00025D81"/>
    <w:rsid w:val="00032522"/>
    <w:rsid w:val="00060089"/>
    <w:rsid w:val="00066E22"/>
    <w:rsid w:val="00070412"/>
    <w:rsid w:val="00083890"/>
    <w:rsid w:val="000A3EC3"/>
    <w:rsid w:val="000A5909"/>
    <w:rsid w:val="000B3114"/>
    <w:rsid w:val="000E3A13"/>
    <w:rsid w:val="000E5FE4"/>
    <w:rsid w:val="00116354"/>
    <w:rsid w:val="0013481C"/>
    <w:rsid w:val="00142A15"/>
    <w:rsid w:val="00197A57"/>
    <w:rsid w:val="001D6134"/>
    <w:rsid w:val="001E3A2E"/>
    <w:rsid w:val="001E5029"/>
    <w:rsid w:val="00211869"/>
    <w:rsid w:val="00211C30"/>
    <w:rsid w:val="00213310"/>
    <w:rsid w:val="002276E7"/>
    <w:rsid w:val="00237883"/>
    <w:rsid w:val="002428BD"/>
    <w:rsid w:val="00247E5A"/>
    <w:rsid w:val="002536DB"/>
    <w:rsid w:val="00255CB9"/>
    <w:rsid w:val="0028353A"/>
    <w:rsid w:val="002D5A9F"/>
    <w:rsid w:val="002E28AF"/>
    <w:rsid w:val="002F41AD"/>
    <w:rsid w:val="003140A3"/>
    <w:rsid w:val="00316B5E"/>
    <w:rsid w:val="00342C71"/>
    <w:rsid w:val="003442EC"/>
    <w:rsid w:val="00357964"/>
    <w:rsid w:val="003A10FA"/>
    <w:rsid w:val="003C6DC8"/>
    <w:rsid w:val="003E272A"/>
    <w:rsid w:val="003F4C3E"/>
    <w:rsid w:val="00402BD1"/>
    <w:rsid w:val="00411264"/>
    <w:rsid w:val="00441950"/>
    <w:rsid w:val="00441DF9"/>
    <w:rsid w:val="004540CE"/>
    <w:rsid w:val="004573BA"/>
    <w:rsid w:val="00465C9B"/>
    <w:rsid w:val="00477E48"/>
    <w:rsid w:val="00495832"/>
    <w:rsid w:val="004B0352"/>
    <w:rsid w:val="004D7865"/>
    <w:rsid w:val="004F1A13"/>
    <w:rsid w:val="005177E2"/>
    <w:rsid w:val="00523BE1"/>
    <w:rsid w:val="0053234A"/>
    <w:rsid w:val="00550D20"/>
    <w:rsid w:val="005551B8"/>
    <w:rsid w:val="00564F9E"/>
    <w:rsid w:val="00574E12"/>
    <w:rsid w:val="0057667D"/>
    <w:rsid w:val="00580857"/>
    <w:rsid w:val="00594A72"/>
    <w:rsid w:val="00596283"/>
    <w:rsid w:val="005E0E03"/>
    <w:rsid w:val="005E572A"/>
    <w:rsid w:val="005E7EBD"/>
    <w:rsid w:val="005F1A75"/>
    <w:rsid w:val="005F4BBD"/>
    <w:rsid w:val="00637730"/>
    <w:rsid w:val="006573C6"/>
    <w:rsid w:val="00664090"/>
    <w:rsid w:val="00664106"/>
    <w:rsid w:val="00680497"/>
    <w:rsid w:val="006A1CCD"/>
    <w:rsid w:val="006B0039"/>
    <w:rsid w:val="006B740C"/>
    <w:rsid w:val="006E0444"/>
    <w:rsid w:val="006E1430"/>
    <w:rsid w:val="00714384"/>
    <w:rsid w:val="0071555D"/>
    <w:rsid w:val="0076578F"/>
    <w:rsid w:val="0077611D"/>
    <w:rsid w:val="007919B2"/>
    <w:rsid w:val="00792BE7"/>
    <w:rsid w:val="0079307C"/>
    <w:rsid w:val="007A7870"/>
    <w:rsid w:val="007A7D36"/>
    <w:rsid w:val="007B6013"/>
    <w:rsid w:val="007B6A0C"/>
    <w:rsid w:val="007C1496"/>
    <w:rsid w:val="007D3DC1"/>
    <w:rsid w:val="007D6007"/>
    <w:rsid w:val="007F525D"/>
    <w:rsid w:val="00811145"/>
    <w:rsid w:val="00813664"/>
    <w:rsid w:val="00843476"/>
    <w:rsid w:val="00852549"/>
    <w:rsid w:val="00853A15"/>
    <w:rsid w:val="008700D7"/>
    <w:rsid w:val="0087025D"/>
    <w:rsid w:val="008722B9"/>
    <w:rsid w:val="00872411"/>
    <w:rsid w:val="00897826"/>
    <w:rsid w:val="008A75F6"/>
    <w:rsid w:val="0091082B"/>
    <w:rsid w:val="00913422"/>
    <w:rsid w:val="0093442E"/>
    <w:rsid w:val="0094647B"/>
    <w:rsid w:val="009623FD"/>
    <w:rsid w:val="009A3449"/>
    <w:rsid w:val="009C7EB3"/>
    <w:rsid w:val="009D6FE5"/>
    <w:rsid w:val="009D7C52"/>
    <w:rsid w:val="009F65A1"/>
    <w:rsid w:val="00A11438"/>
    <w:rsid w:val="00A3128B"/>
    <w:rsid w:val="00A35088"/>
    <w:rsid w:val="00A5203F"/>
    <w:rsid w:val="00AA6386"/>
    <w:rsid w:val="00AB1EFD"/>
    <w:rsid w:val="00AC3431"/>
    <w:rsid w:val="00AD6FF7"/>
    <w:rsid w:val="00AE2D06"/>
    <w:rsid w:val="00AF1F87"/>
    <w:rsid w:val="00B06AA2"/>
    <w:rsid w:val="00B24DE4"/>
    <w:rsid w:val="00B26184"/>
    <w:rsid w:val="00B3155F"/>
    <w:rsid w:val="00B44A3B"/>
    <w:rsid w:val="00B814D8"/>
    <w:rsid w:val="00B85772"/>
    <w:rsid w:val="00B93ABE"/>
    <w:rsid w:val="00BD27BE"/>
    <w:rsid w:val="00BD641E"/>
    <w:rsid w:val="00BE4A6B"/>
    <w:rsid w:val="00C16A72"/>
    <w:rsid w:val="00C177EB"/>
    <w:rsid w:val="00C62373"/>
    <w:rsid w:val="00C64B74"/>
    <w:rsid w:val="00C91EC6"/>
    <w:rsid w:val="00CA1D47"/>
    <w:rsid w:val="00CA29B6"/>
    <w:rsid w:val="00CA6B90"/>
    <w:rsid w:val="00CD37AD"/>
    <w:rsid w:val="00D103C8"/>
    <w:rsid w:val="00D112DE"/>
    <w:rsid w:val="00D7083B"/>
    <w:rsid w:val="00D80F8C"/>
    <w:rsid w:val="00DC3954"/>
    <w:rsid w:val="00DD1F37"/>
    <w:rsid w:val="00DF5058"/>
    <w:rsid w:val="00DF5E27"/>
    <w:rsid w:val="00E01E40"/>
    <w:rsid w:val="00E266B6"/>
    <w:rsid w:val="00E32D2F"/>
    <w:rsid w:val="00E40664"/>
    <w:rsid w:val="00E524DD"/>
    <w:rsid w:val="00E77BF1"/>
    <w:rsid w:val="00ED760E"/>
    <w:rsid w:val="00F41942"/>
    <w:rsid w:val="00F45CB5"/>
    <w:rsid w:val="00F464E2"/>
    <w:rsid w:val="00F52554"/>
    <w:rsid w:val="00F7321E"/>
    <w:rsid w:val="00F73853"/>
    <w:rsid w:val="00FA2023"/>
    <w:rsid w:val="00FA73B5"/>
    <w:rsid w:val="00FB03C2"/>
    <w:rsid w:val="00FD24EC"/>
    <w:rsid w:val="00FF150E"/>
    <w:rsid w:val="00FF3332"/>
    <w:rsid w:val="00FF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5289B-A668-48F5-BF13-EEB40343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72A"/>
    <w:pPr>
      <w:spacing w:after="0" w:line="240" w:lineRule="auto"/>
    </w:pPr>
    <w:rPr>
      <w:rFonts w:asciiTheme="minorHAnsi" w:hAnsiTheme="minorHAnsi" w:cstheme="minorBidi"/>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572A"/>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5E572A"/>
    <w:rPr>
      <w:rFonts w:cstheme="minorBidi"/>
      <w:b w:val="0"/>
      <w:sz w:val="20"/>
      <w:szCs w:val="20"/>
    </w:rPr>
  </w:style>
  <w:style w:type="character" w:styleId="FootnoteReference">
    <w:name w:val="footnote reference"/>
    <w:basedOn w:val="DefaultParagraphFont"/>
    <w:uiPriority w:val="99"/>
    <w:semiHidden/>
    <w:unhideWhenUsed/>
    <w:rsid w:val="005E572A"/>
    <w:rPr>
      <w:rFonts w:ascii="Times New Roman" w:hAnsi="Times New Roman"/>
      <w:vertAlign w:val="superscript"/>
    </w:rPr>
  </w:style>
  <w:style w:type="paragraph" w:styleId="Footer">
    <w:name w:val="footer"/>
    <w:basedOn w:val="Normal"/>
    <w:link w:val="FooterChar"/>
    <w:uiPriority w:val="99"/>
    <w:unhideWhenUsed/>
    <w:rsid w:val="005E572A"/>
    <w:pPr>
      <w:tabs>
        <w:tab w:val="center" w:pos="4680"/>
        <w:tab w:val="right" w:pos="9360"/>
      </w:tabs>
    </w:pPr>
  </w:style>
  <w:style w:type="character" w:customStyle="1" w:styleId="FooterChar">
    <w:name w:val="Footer Char"/>
    <w:basedOn w:val="DefaultParagraphFont"/>
    <w:link w:val="Footer"/>
    <w:uiPriority w:val="99"/>
    <w:rsid w:val="005E572A"/>
    <w:rPr>
      <w:rFonts w:asciiTheme="minorHAnsi" w:hAnsiTheme="minorHAnsi" w:cstheme="minorBidi"/>
      <w:b w:val="0"/>
      <w:sz w:val="22"/>
      <w:szCs w:val="22"/>
    </w:rPr>
  </w:style>
  <w:style w:type="paragraph" w:styleId="Header">
    <w:name w:val="header"/>
    <w:basedOn w:val="Normal"/>
    <w:link w:val="HeaderChar"/>
    <w:uiPriority w:val="99"/>
    <w:unhideWhenUsed/>
    <w:rsid w:val="002536DB"/>
    <w:pPr>
      <w:tabs>
        <w:tab w:val="center" w:pos="4680"/>
        <w:tab w:val="right" w:pos="9360"/>
      </w:tabs>
    </w:pPr>
  </w:style>
  <w:style w:type="character" w:customStyle="1" w:styleId="HeaderChar">
    <w:name w:val="Header Char"/>
    <w:basedOn w:val="DefaultParagraphFont"/>
    <w:link w:val="Header"/>
    <w:uiPriority w:val="99"/>
    <w:rsid w:val="002536DB"/>
    <w:rPr>
      <w:rFonts w:asciiTheme="minorHAnsi" w:hAnsiTheme="minorHAnsi" w:cstheme="minorBidi"/>
      <w:b w:val="0"/>
      <w:sz w:val="22"/>
      <w:szCs w:val="22"/>
    </w:rPr>
  </w:style>
  <w:style w:type="character" w:styleId="Hyperlink">
    <w:name w:val="Hyperlink"/>
    <w:basedOn w:val="DefaultParagraphFont"/>
    <w:uiPriority w:val="99"/>
    <w:semiHidden/>
    <w:unhideWhenUsed/>
    <w:rsid w:val="00402BD1"/>
    <w:rPr>
      <w:color w:val="0000FF"/>
      <w:u w:val="single"/>
    </w:rPr>
  </w:style>
  <w:style w:type="paragraph" w:styleId="ListParagraph">
    <w:name w:val="List Paragraph"/>
    <w:basedOn w:val="Normal"/>
    <w:uiPriority w:val="34"/>
    <w:qFormat/>
    <w:rsid w:val="00211C30"/>
    <w:pPr>
      <w:ind w:left="720"/>
      <w:contextualSpacing/>
    </w:pPr>
  </w:style>
  <w:style w:type="paragraph" w:styleId="BalloonText">
    <w:name w:val="Balloon Text"/>
    <w:basedOn w:val="Normal"/>
    <w:link w:val="BalloonTextChar"/>
    <w:uiPriority w:val="99"/>
    <w:semiHidden/>
    <w:unhideWhenUsed/>
    <w:rsid w:val="001E3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A2E"/>
    <w:rPr>
      <w:rFonts w:ascii="Segoe UI" w:hAnsi="Segoe UI" w:cs="Segoe UI"/>
      <w:b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83175">
      <w:bodyDiv w:val="1"/>
      <w:marLeft w:val="0"/>
      <w:marRight w:val="0"/>
      <w:marTop w:val="0"/>
      <w:marBottom w:val="0"/>
      <w:divBdr>
        <w:top w:val="none" w:sz="0" w:space="0" w:color="auto"/>
        <w:left w:val="none" w:sz="0" w:space="0" w:color="auto"/>
        <w:bottom w:val="none" w:sz="0" w:space="0" w:color="auto"/>
        <w:right w:val="none" w:sz="0" w:space="0" w:color="auto"/>
      </w:divBdr>
    </w:div>
    <w:div w:id="188614297">
      <w:bodyDiv w:val="1"/>
      <w:marLeft w:val="0"/>
      <w:marRight w:val="0"/>
      <w:marTop w:val="0"/>
      <w:marBottom w:val="0"/>
      <w:divBdr>
        <w:top w:val="none" w:sz="0" w:space="0" w:color="auto"/>
        <w:left w:val="none" w:sz="0" w:space="0" w:color="auto"/>
        <w:bottom w:val="none" w:sz="0" w:space="0" w:color="auto"/>
        <w:right w:val="none" w:sz="0" w:space="0" w:color="auto"/>
      </w:divBdr>
    </w:div>
    <w:div w:id="318316942">
      <w:bodyDiv w:val="1"/>
      <w:marLeft w:val="0"/>
      <w:marRight w:val="0"/>
      <w:marTop w:val="0"/>
      <w:marBottom w:val="0"/>
      <w:divBdr>
        <w:top w:val="none" w:sz="0" w:space="0" w:color="auto"/>
        <w:left w:val="none" w:sz="0" w:space="0" w:color="auto"/>
        <w:bottom w:val="none" w:sz="0" w:space="0" w:color="auto"/>
        <w:right w:val="none" w:sz="0" w:space="0" w:color="auto"/>
      </w:divBdr>
    </w:div>
    <w:div w:id="1335261844">
      <w:bodyDiv w:val="1"/>
      <w:marLeft w:val="0"/>
      <w:marRight w:val="0"/>
      <w:marTop w:val="0"/>
      <w:marBottom w:val="0"/>
      <w:divBdr>
        <w:top w:val="none" w:sz="0" w:space="0" w:color="auto"/>
        <w:left w:val="none" w:sz="0" w:space="0" w:color="auto"/>
        <w:bottom w:val="none" w:sz="0" w:space="0" w:color="auto"/>
        <w:right w:val="none" w:sz="0" w:space="0" w:color="auto"/>
      </w:divBdr>
    </w:div>
    <w:div w:id="1356804973">
      <w:bodyDiv w:val="1"/>
      <w:marLeft w:val="0"/>
      <w:marRight w:val="0"/>
      <w:marTop w:val="0"/>
      <w:marBottom w:val="0"/>
      <w:divBdr>
        <w:top w:val="none" w:sz="0" w:space="0" w:color="auto"/>
        <w:left w:val="none" w:sz="0" w:space="0" w:color="auto"/>
        <w:bottom w:val="none" w:sz="0" w:space="0" w:color="auto"/>
        <w:right w:val="none" w:sz="0" w:space="0" w:color="auto"/>
      </w:divBdr>
    </w:div>
    <w:div w:id="1488785973">
      <w:bodyDiv w:val="1"/>
      <w:marLeft w:val="0"/>
      <w:marRight w:val="0"/>
      <w:marTop w:val="0"/>
      <w:marBottom w:val="0"/>
      <w:divBdr>
        <w:top w:val="none" w:sz="0" w:space="0" w:color="auto"/>
        <w:left w:val="none" w:sz="0" w:space="0" w:color="auto"/>
        <w:bottom w:val="none" w:sz="0" w:space="0" w:color="auto"/>
        <w:right w:val="none" w:sz="0" w:space="0" w:color="auto"/>
      </w:divBdr>
    </w:div>
    <w:div w:id="1509061053">
      <w:bodyDiv w:val="1"/>
      <w:marLeft w:val="0"/>
      <w:marRight w:val="0"/>
      <w:marTop w:val="0"/>
      <w:marBottom w:val="0"/>
      <w:divBdr>
        <w:top w:val="none" w:sz="0" w:space="0" w:color="auto"/>
        <w:left w:val="none" w:sz="0" w:space="0" w:color="auto"/>
        <w:bottom w:val="none" w:sz="0" w:space="0" w:color="auto"/>
        <w:right w:val="none" w:sz="0" w:space="0" w:color="auto"/>
      </w:divBdr>
      <w:divsChild>
        <w:div w:id="630522412">
          <w:marLeft w:val="0"/>
          <w:marRight w:val="0"/>
          <w:marTop w:val="240"/>
          <w:marBottom w:val="0"/>
          <w:divBdr>
            <w:top w:val="none" w:sz="0" w:space="0" w:color="auto"/>
            <w:left w:val="none" w:sz="0" w:space="0" w:color="auto"/>
            <w:bottom w:val="none" w:sz="0" w:space="0" w:color="auto"/>
            <w:right w:val="none" w:sz="0" w:space="0" w:color="auto"/>
          </w:divBdr>
          <w:divsChild>
            <w:div w:id="621036353">
              <w:marLeft w:val="0"/>
              <w:marRight w:val="0"/>
              <w:marTop w:val="0"/>
              <w:marBottom w:val="0"/>
              <w:divBdr>
                <w:top w:val="none" w:sz="0" w:space="0" w:color="auto"/>
                <w:left w:val="none" w:sz="0" w:space="0" w:color="auto"/>
                <w:bottom w:val="none" w:sz="0" w:space="0" w:color="auto"/>
                <w:right w:val="none" w:sz="0" w:space="0" w:color="auto"/>
              </w:divBdr>
              <w:divsChild>
                <w:div w:id="18058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7419">
          <w:marLeft w:val="0"/>
          <w:marRight w:val="0"/>
          <w:marTop w:val="240"/>
          <w:marBottom w:val="0"/>
          <w:divBdr>
            <w:top w:val="none" w:sz="0" w:space="0" w:color="auto"/>
            <w:left w:val="none" w:sz="0" w:space="0" w:color="auto"/>
            <w:bottom w:val="none" w:sz="0" w:space="0" w:color="auto"/>
            <w:right w:val="none" w:sz="0" w:space="0" w:color="auto"/>
          </w:divBdr>
          <w:divsChild>
            <w:div w:id="1673683599">
              <w:marLeft w:val="0"/>
              <w:marRight w:val="0"/>
              <w:marTop w:val="0"/>
              <w:marBottom w:val="0"/>
              <w:divBdr>
                <w:top w:val="none" w:sz="0" w:space="0" w:color="auto"/>
                <w:left w:val="none" w:sz="0" w:space="0" w:color="auto"/>
                <w:bottom w:val="none" w:sz="0" w:space="0" w:color="auto"/>
                <w:right w:val="none" w:sz="0" w:space="0" w:color="auto"/>
              </w:divBdr>
              <w:divsChild>
                <w:div w:id="8506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69456">
      <w:bodyDiv w:val="1"/>
      <w:marLeft w:val="0"/>
      <w:marRight w:val="0"/>
      <w:marTop w:val="0"/>
      <w:marBottom w:val="0"/>
      <w:divBdr>
        <w:top w:val="none" w:sz="0" w:space="0" w:color="auto"/>
        <w:left w:val="none" w:sz="0" w:space="0" w:color="auto"/>
        <w:bottom w:val="none" w:sz="0" w:space="0" w:color="auto"/>
        <w:right w:val="none" w:sz="0" w:space="0" w:color="auto"/>
      </w:divBdr>
    </w:div>
    <w:div w:id="1780221696">
      <w:bodyDiv w:val="1"/>
      <w:marLeft w:val="0"/>
      <w:marRight w:val="0"/>
      <w:marTop w:val="0"/>
      <w:marBottom w:val="0"/>
      <w:divBdr>
        <w:top w:val="none" w:sz="0" w:space="0" w:color="auto"/>
        <w:left w:val="none" w:sz="0" w:space="0" w:color="auto"/>
        <w:bottom w:val="none" w:sz="0" w:space="0" w:color="auto"/>
        <w:right w:val="none" w:sz="0" w:space="0" w:color="auto"/>
      </w:divBdr>
    </w:div>
    <w:div w:id="2071074214">
      <w:bodyDiv w:val="1"/>
      <w:marLeft w:val="0"/>
      <w:marRight w:val="0"/>
      <w:marTop w:val="0"/>
      <w:marBottom w:val="0"/>
      <w:divBdr>
        <w:top w:val="none" w:sz="0" w:space="0" w:color="auto"/>
        <w:left w:val="none" w:sz="0" w:space="0" w:color="auto"/>
        <w:bottom w:val="none" w:sz="0" w:space="0" w:color="auto"/>
        <w:right w:val="none" w:sz="0" w:space="0" w:color="auto"/>
      </w:divBdr>
    </w:div>
    <w:div w:id="2084445930">
      <w:bodyDiv w:val="1"/>
      <w:marLeft w:val="0"/>
      <w:marRight w:val="0"/>
      <w:marTop w:val="0"/>
      <w:marBottom w:val="0"/>
      <w:divBdr>
        <w:top w:val="none" w:sz="0" w:space="0" w:color="auto"/>
        <w:left w:val="none" w:sz="0" w:space="0" w:color="auto"/>
        <w:bottom w:val="none" w:sz="0" w:space="0" w:color="auto"/>
        <w:right w:val="none" w:sz="0" w:space="0" w:color="auto"/>
      </w:divBdr>
      <w:divsChild>
        <w:div w:id="138108698">
          <w:marLeft w:val="0"/>
          <w:marRight w:val="0"/>
          <w:marTop w:val="0"/>
          <w:marBottom w:val="0"/>
          <w:divBdr>
            <w:top w:val="none" w:sz="0" w:space="0" w:color="auto"/>
            <w:left w:val="none" w:sz="0" w:space="0" w:color="auto"/>
            <w:bottom w:val="none" w:sz="0" w:space="0" w:color="auto"/>
            <w:right w:val="none" w:sz="0" w:space="0" w:color="auto"/>
          </w:divBdr>
        </w:div>
        <w:div w:id="787361735">
          <w:marLeft w:val="0"/>
          <w:marRight w:val="0"/>
          <w:marTop w:val="240"/>
          <w:marBottom w:val="0"/>
          <w:divBdr>
            <w:top w:val="none" w:sz="0" w:space="0" w:color="auto"/>
            <w:left w:val="none" w:sz="0" w:space="0" w:color="auto"/>
            <w:bottom w:val="none" w:sz="0" w:space="0" w:color="auto"/>
            <w:right w:val="none" w:sz="0" w:space="0" w:color="auto"/>
          </w:divBdr>
          <w:divsChild>
            <w:div w:id="2050228479">
              <w:marLeft w:val="0"/>
              <w:marRight w:val="0"/>
              <w:marTop w:val="0"/>
              <w:marBottom w:val="0"/>
              <w:divBdr>
                <w:top w:val="none" w:sz="0" w:space="0" w:color="auto"/>
                <w:left w:val="none" w:sz="0" w:space="0" w:color="auto"/>
                <w:bottom w:val="none" w:sz="0" w:space="0" w:color="auto"/>
                <w:right w:val="none" w:sz="0" w:space="0" w:color="auto"/>
              </w:divBdr>
            </w:div>
          </w:divsChild>
        </w:div>
        <w:div w:id="111823586">
          <w:marLeft w:val="0"/>
          <w:marRight w:val="0"/>
          <w:marTop w:val="240"/>
          <w:marBottom w:val="0"/>
          <w:divBdr>
            <w:top w:val="none" w:sz="0" w:space="0" w:color="auto"/>
            <w:left w:val="none" w:sz="0" w:space="0" w:color="auto"/>
            <w:bottom w:val="none" w:sz="0" w:space="0" w:color="auto"/>
            <w:right w:val="none" w:sz="0" w:space="0" w:color="auto"/>
          </w:divBdr>
          <w:divsChild>
            <w:div w:id="625042973">
              <w:marLeft w:val="0"/>
              <w:marRight w:val="0"/>
              <w:marTop w:val="0"/>
              <w:marBottom w:val="0"/>
              <w:divBdr>
                <w:top w:val="none" w:sz="0" w:space="0" w:color="auto"/>
                <w:left w:val="none" w:sz="0" w:space="0" w:color="auto"/>
                <w:bottom w:val="none" w:sz="0" w:space="0" w:color="auto"/>
                <w:right w:val="none" w:sz="0" w:space="0" w:color="auto"/>
              </w:divBdr>
              <w:divsChild>
                <w:div w:id="177845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13459">
          <w:marLeft w:val="0"/>
          <w:marRight w:val="0"/>
          <w:marTop w:val="240"/>
          <w:marBottom w:val="0"/>
          <w:divBdr>
            <w:top w:val="none" w:sz="0" w:space="0" w:color="auto"/>
            <w:left w:val="none" w:sz="0" w:space="0" w:color="auto"/>
            <w:bottom w:val="none" w:sz="0" w:space="0" w:color="auto"/>
            <w:right w:val="none" w:sz="0" w:space="0" w:color="auto"/>
          </w:divBdr>
          <w:divsChild>
            <w:div w:id="378867104">
              <w:marLeft w:val="0"/>
              <w:marRight w:val="0"/>
              <w:marTop w:val="0"/>
              <w:marBottom w:val="0"/>
              <w:divBdr>
                <w:top w:val="none" w:sz="0" w:space="0" w:color="auto"/>
                <w:left w:val="none" w:sz="0" w:space="0" w:color="auto"/>
                <w:bottom w:val="none" w:sz="0" w:space="0" w:color="auto"/>
                <w:right w:val="none" w:sz="0" w:space="0" w:color="auto"/>
              </w:divBdr>
              <w:divsChild>
                <w:div w:id="17420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1549">
          <w:marLeft w:val="0"/>
          <w:marRight w:val="0"/>
          <w:marTop w:val="240"/>
          <w:marBottom w:val="0"/>
          <w:divBdr>
            <w:top w:val="none" w:sz="0" w:space="0" w:color="auto"/>
            <w:left w:val="none" w:sz="0" w:space="0" w:color="auto"/>
            <w:bottom w:val="none" w:sz="0" w:space="0" w:color="auto"/>
            <w:right w:val="none" w:sz="0" w:space="0" w:color="auto"/>
          </w:divBdr>
          <w:divsChild>
            <w:div w:id="1833375289">
              <w:marLeft w:val="0"/>
              <w:marRight w:val="0"/>
              <w:marTop w:val="0"/>
              <w:marBottom w:val="0"/>
              <w:divBdr>
                <w:top w:val="none" w:sz="0" w:space="0" w:color="auto"/>
                <w:left w:val="none" w:sz="0" w:space="0" w:color="auto"/>
                <w:bottom w:val="none" w:sz="0" w:space="0" w:color="auto"/>
                <w:right w:val="none" w:sz="0" w:space="0" w:color="auto"/>
              </w:divBdr>
              <w:divsChild>
                <w:div w:id="7842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5445">
          <w:marLeft w:val="0"/>
          <w:marRight w:val="0"/>
          <w:marTop w:val="240"/>
          <w:marBottom w:val="0"/>
          <w:divBdr>
            <w:top w:val="none" w:sz="0" w:space="0" w:color="auto"/>
            <w:left w:val="none" w:sz="0" w:space="0" w:color="auto"/>
            <w:bottom w:val="none" w:sz="0" w:space="0" w:color="auto"/>
            <w:right w:val="none" w:sz="0" w:space="0" w:color="auto"/>
          </w:divBdr>
          <w:divsChild>
            <w:div w:id="370033381">
              <w:marLeft w:val="0"/>
              <w:marRight w:val="0"/>
              <w:marTop w:val="0"/>
              <w:marBottom w:val="0"/>
              <w:divBdr>
                <w:top w:val="none" w:sz="0" w:space="0" w:color="auto"/>
                <w:left w:val="none" w:sz="0" w:space="0" w:color="auto"/>
                <w:bottom w:val="none" w:sz="0" w:space="0" w:color="auto"/>
                <w:right w:val="none" w:sz="0" w:space="0" w:color="auto"/>
              </w:divBdr>
              <w:divsChild>
                <w:div w:id="12158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8557">
          <w:marLeft w:val="0"/>
          <w:marRight w:val="0"/>
          <w:marTop w:val="240"/>
          <w:marBottom w:val="0"/>
          <w:divBdr>
            <w:top w:val="none" w:sz="0" w:space="0" w:color="auto"/>
            <w:left w:val="none" w:sz="0" w:space="0" w:color="auto"/>
            <w:bottom w:val="none" w:sz="0" w:space="0" w:color="auto"/>
            <w:right w:val="none" w:sz="0" w:space="0" w:color="auto"/>
          </w:divBdr>
          <w:divsChild>
            <w:div w:id="1851068432">
              <w:marLeft w:val="0"/>
              <w:marRight w:val="0"/>
              <w:marTop w:val="0"/>
              <w:marBottom w:val="0"/>
              <w:divBdr>
                <w:top w:val="none" w:sz="0" w:space="0" w:color="auto"/>
                <w:left w:val="none" w:sz="0" w:space="0" w:color="auto"/>
                <w:bottom w:val="none" w:sz="0" w:space="0" w:color="auto"/>
                <w:right w:val="none" w:sz="0" w:space="0" w:color="auto"/>
              </w:divBdr>
              <w:divsChild>
                <w:div w:id="112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8441">
          <w:marLeft w:val="0"/>
          <w:marRight w:val="0"/>
          <w:marTop w:val="240"/>
          <w:marBottom w:val="0"/>
          <w:divBdr>
            <w:top w:val="none" w:sz="0" w:space="0" w:color="auto"/>
            <w:left w:val="none" w:sz="0" w:space="0" w:color="auto"/>
            <w:bottom w:val="none" w:sz="0" w:space="0" w:color="auto"/>
            <w:right w:val="none" w:sz="0" w:space="0" w:color="auto"/>
          </w:divBdr>
          <w:divsChild>
            <w:div w:id="421798479">
              <w:marLeft w:val="0"/>
              <w:marRight w:val="0"/>
              <w:marTop w:val="0"/>
              <w:marBottom w:val="0"/>
              <w:divBdr>
                <w:top w:val="none" w:sz="0" w:space="0" w:color="auto"/>
                <w:left w:val="none" w:sz="0" w:space="0" w:color="auto"/>
                <w:bottom w:val="none" w:sz="0" w:space="0" w:color="auto"/>
                <w:right w:val="none" w:sz="0" w:space="0" w:color="auto"/>
              </w:divBdr>
              <w:divsChild>
                <w:div w:id="16826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52979">
          <w:marLeft w:val="0"/>
          <w:marRight w:val="0"/>
          <w:marTop w:val="240"/>
          <w:marBottom w:val="0"/>
          <w:divBdr>
            <w:top w:val="none" w:sz="0" w:space="0" w:color="auto"/>
            <w:left w:val="none" w:sz="0" w:space="0" w:color="auto"/>
            <w:bottom w:val="none" w:sz="0" w:space="0" w:color="auto"/>
            <w:right w:val="none" w:sz="0" w:space="0" w:color="auto"/>
          </w:divBdr>
          <w:divsChild>
            <w:div w:id="2070810553">
              <w:marLeft w:val="0"/>
              <w:marRight w:val="0"/>
              <w:marTop w:val="0"/>
              <w:marBottom w:val="0"/>
              <w:divBdr>
                <w:top w:val="none" w:sz="0" w:space="0" w:color="auto"/>
                <w:left w:val="none" w:sz="0" w:space="0" w:color="auto"/>
                <w:bottom w:val="none" w:sz="0" w:space="0" w:color="auto"/>
                <w:right w:val="none" w:sz="0" w:space="0" w:color="auto"/>
              </w:divBdr>
              <w:divsChild>
                <w:div w:id="153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6037">
          <w:marLeft w:val="0"/>
          <w:marRight w:val="0"/>
          <w:marTop w:val="240"/>
          <w:marBottom w:val="0"/>
          <w:divBdr>
            <w:top w:val="none" w:sz="0" w:space="0" w:color="auto"/>
            <w:left w:val="none" w:sz="0" w:space="0" w:color="auto"/>
            <w:bottom w:val="none" w:sz="0" w:space="0" w:color="auto"/>
            <w:right w:val="none" w:sz="0" w:space="0" w:color="auto"/>
          </w:divBdr>
          <w:divsChild>
            <w:div w:id="1267234250">
              <w:marLeft w:val="0"/>
              <w:marRight w:val="0"/>
              <w:marTop w:val="0"/>
              <w:marBottom w:val="0"/>
              <w:divBdr>
                <w:top w:val="none" w:sz="0" w:space="0" w:color="auto"/>
                <w:left w:val="none" w:sz="0" w:space="0" w:color="auto"/>
                <w:bottom w:val="none" w:sz="0" w:space="0" w:color="auto"/>
                <w:right w:val="none" w:sz="0" w:space="0" w:color="auto"/>
              </w:divBdr>
              <w:divsChild>
                <w:div w:id="6281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0420">
          <w:marLeft w:val="0"/>
          <w:marRight w:val="0"/>
          <w:marTop w:val="240"/>
          <w:marBottom w:val="0"/>
          <w:divBdr>
            <w:top w:val="none" w:sz="0" w:space="0" w:color="auto"/>
            <w:left w:val="none" w:sz="0" w:space="0" w:color="auto"/>
            <w:bottom w:val="none" w:sz="0" w:space="0" w:color="auto"/>
            <w:right w:val="none" w:sz="0" w:space="0" w:color="auto"/>
          </w:divBdr>
          <w:divsChild>
            <w:div w:id="623735346">
              <w:marLeft w:val="0"/>
              <w:marRight w:val="0"/>
              <w:marTop w:val="0"/>
              <w:marBottom w:val="0"/>
              <w:divBdr>
                <w:top w:val="none" w:sz="0" w:space="0" w:color="auto"/>
                <w:left w:val="none" w:sz="0" w:space="0" w:color="auto"/>
                <w:bottom w:val="none" w:sz="0" w:space="0" w:color="auto"/>
                <w:right w:val="none" w:sz="0" w:space="0" w:color="auto"/>
              </w:divBdr>
              <w:divsChild>
                <w:div w:id="37809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1240">
          <w:marLeft w:val="0"/>
          <w:marRight w:val="0"/>
          <w:marTop w:val="240"/>
          <w:marBottom w:val="0"/>
          <w:divBdr>
            <w:top w:val="none" w:sz="0" w:space="0" w:color="auto"/>
            <w:left w:val="none" w:sz="0" w:space="0" w:color="auto"/>
            <w:bottom w:val="none" w:sz="0" w:space="0" w:color="auto"/>
            <w:right w:val="none" w:sz="0" w:space="0" w:color="auto"/>
          </w:divBdr>
          <w:divsChild>
            <w:div w:id="535429778">
              <w:marLeft w:val="0"/>
              <w:marRight w:val="0"/>
              <w:marTop w:val="0"/>
              <w:marBottom w:val="0"/>
              <w:divBdr>
                <w:top w:val="none" w:sz="0" w:space="0" w:color="auto"/>
                <w:left w:val="none" w:sz="0" w:space="0" w:color="auto"/>
                <w:bottom w:val="none" w:sz="0" w:space="0" w:color="auto"/>
                <w:right w:val="none" w:sz="0" w:space="0" w:color="auto"/>
              </w:divBdr>
              <w:divsChild>
                <w:div w:id="11670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9639">
          <w:marLeft w:val="0"/>
          <w:marRight w:val="0"/>
          <w:marTop w:val="240"/>
          <w:marBottom w:val="0"/>
          <w:divBdr>
            <w:top w:val="none" w:sz="0" w:space="0" w:color="auto"/>
            <w:left w:val="none" w:sz="0" w:space="0" w:color="auto"/>
            <w:bottom w:val="none" w:sz="0" w:space="0" w:color="auto"/>
            <w:right w:val="none" w:sz="0" w:space="0" w:color="auto"/>
          </w:divBdr>
          <w:divsChild>
            <w:div w:id="1167096430">
              <w:marLeft w:val="0"/>
              <w:marRight w:val="0"/>
              <w:marTop w:val="0"/>
              <w:marBottom w:val="0"/>
              <w:divBdr>
                <w:top w:val="none" w:sz="0" w:space="0" w:color="auto"/>
                <w:left w:val="none" w:sz="0" w:space="0" w:color="auto"/>
                <w:bottom w:val="none" w:sz="0" w:space="0" w:color="auto"/>
                <w:right w:val="none" w:sz="0" w:space="0" w:color="auto"/>
              </w:divBdr>
              <w:divsChild>
                <w:div w:id="621615805">
                  <w:marLeft w:val="0"/>
                  <w:marRight w:val="0"/>
                  <w:marTop w:val="0"/>
                  <w:marBottom w:val="0"/>
                  <w:divBdr>
                    <w:top w:val="none" w:sz="0" w:space="0" w:color="auto"/>
                    <w:left w:val="none" w:sz="0" w:space="0" w:color="auto"/>
                    <w:bottom w:val="none" w:sz="0" w:space="0" w:color="auto"/>
                    <w:right w:val="none" w:sz="0" w:space="0" w:color="auto"/>
                  </w:divBdr>
                </w:div>
              </w:divsChild>
            </w:div>
            <w:div w:id="1893615810">
              <w:marLeft w:val="0"/>
              <w:marRight w:val="0"/>
              <w:marTop w:val="240"/>
              <w:marBottom w:val="0"/>
              <w:divBdr>
                <w:top w:val="none" w:sz="0" w:space="0" w:color="auto"/>
                <w:left w:val="none" w:sz="0" w:space="0" w:color="auto"/>
                <w:bottom w:val="none" w:sz="0" w:space="0" w:color="auto"/>
                <w:right w:val="none" w:sz="0" w:space="0" w:color="auto"/>
              </w:divBdr>
              <w:divsChild>
                <w:div w:id="18023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4C3F3-A08D-4B32-A5EC-F77F60F54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778</Words>
  <Characters>4292</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Clerk3</dc:creator>
  <cp:lastModifiedBy>L Tharney</cp:lastModifiedBy>
  <cp:revision>16</cp:revision>
  <cp:lastPrinted>2017-12-21T21:08:00Z</cp:lastPrinted>
  <dcterms:created xsi:type="dcterms:W3CDTF">2018-10-05T18:51:00Z</dcterms:created>
  <dcterms:modified xsi:type="dcterms:W3CDTF">2019-01-04T23:01:00Z</dcterms:modified>
</cp:coreProperties>
</file>