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5A" w:rsidRPr="00AE7F73" w:rsidRDefault="001B3F76" w:rsidP="00BA4C58">
      <w:pPr>
        <w:spacing w:after="0" w:line="240" w:lineRule="auto"/>
        <w:jc w:val="both"/>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To:         New Jersey Law Revision Commission</w:t>
      </w:r>
    </w:p>
    <w:p w:rsidR="002D545A" w:rsidRPr="00AE7F73" w:rsidRDefault="001B3F76" w:rsidP="00BA4C58">
      <w:pPr>
        <w:spacing w:after="0" w:line="240" w:lineRule="auto"/>
        <w:jc w:val="both"/>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 xml:space="preserve">From:    Timothy J. Prol </w:t>
      </w:r>
    </w:p>
    <w:p w:rsidR="002D545A" w:rsidRPr="00AE7F73" w:rsidRDefault="001B3F76" w:rsidP="00BA4C58">
      <w:pPr>
        <w:spacing w:after="0" w:line="240" w:lineRule="auto"/>
        <w:jc w:val="both"/>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Re:         Out of State DWI</w:t>
      </w:r>
    </w:p>
    <w:p w:rsidR="002D545A" w:rsidRPr="00AE7F73" w:rsidRDefault="001B3F76" w:rsidP="00BA4C58">
      <w:pPr>
        <w:spacing w:after="0" w:line="240" w:lineRule="auto"/>
        <w:jc w:val="both"/>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Date:      March 5, 2018</w:t>
      </w:r>
    </w:p>
    <w:p w:rsidR="002D545A" w:rsidRPr="00AE7F73" w:rsidRDefault="001B3F76" w:rsidP="00BA4C58">
      <w:pPr>
        <w:pBdr>
          <w:bottom w:val="single" w:sz="12" w:space="1" w:color="000000"/>
        </w:pBdr>
        <w:spacing w:after="0" w:line="240" w:lineRule="auto"/>
        <w:jc w:val="center"/>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MEMORANDUM</w:t>
      </w:r>
    </w:p>
    <w:p w:rsidR="002D545A" w:rsidRPr="00AE7F73" w:rsidRDefault="002D545A" w:rsidP="00BA4C58">
      <w:pPr>
        <w:pBdr>
          <w:bottom w:val="single" w:sz="12" w:space="1" w:color="000000"/>
        </w:pBdr>
        <w:spacing w:after="0" w:line="240" w:lineRule="auto"/>
        <w:jc w:val="both"/>
        <w:rPr>
          <w:rFonts w:ascii="Times New Roman" w:eastAsia="Times New Roman" w:hAnsi="Times New Roman" w:cs="Times New Roman"/>
          <w:b/>
          <w:color w:val="auto"/>
          <w:sz w:val="24"/>
          <w:szCs w:val="24"/>
        </w:rPr>
      </w:pPr>
    </w:p>
    <w:p w:rsidR="002D545A" w:rsidRPr="00AE7F73" w:rsidRDefault="002D545A" w:rsidP="00BA4C58">
      <w:pPr>
        <w:spacing w:after="0" w:line="240" w:lineRule="auto"/>
        <w:jc w:val="both"/>
        <w:rPr>
          <w:rFonts w:ascii="Times New Roman" w:eastAsia="Times New Roman" w:hAnsi="Times New Roman" w:cs="Times New Roman"/>
          <w:b/>
          <w:color w:val="auto"/>
          <w:sz w:val="24"/>
          <w:szCs w:val="24"/>
        </w:rPr>
      </w:pPr>
    </w:p>
    <w:p w:rsidR="002D545A" w:rsidRPr="00AE7F73" w:rsidRDefault="001B3F76" w:rsidP="00BA4C58">
      <w:pPr>
        <w:spacing w:after="0" w:line="240" w:lineRule="auto"/>
        <w:jc w:val="center"/>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Executive Summary</w:t>
      </w:r>
    </w:p>
    <w:p w:rsidR="002D545A" w:rsidRPr="00AE7F73" w:rsidRDefault="002D545A" w:rsidP="00BA4C58">
      <w:pPr>
        <w:spacing w:after="0" w:line="240" w:lineRule="auto"/>
        <w:ind w:firstLine="720"/>
        <w:jc w:val="both"/>
        <w:rPr>
          <w:rFonts w:ascii="Times New Roman" w:eastAsia="Times New Roman" w:hAnsi="Times New Roman" w:cs="Times New Roman"/>
          <w:color w:val="auto"/>
          <w:sz w:val="24"/>
          <w:szCs w:val="24"/>
        </w:rPr>
      </w:pPr>
    </w:p>
    <w:p w:rsidR="002D545A" w:rsidRPr="00AE7F73" w:rsidRDefault="001B3F76" w:rsidP="00BA4C58">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In July, 2016, Staff presented a memorandum regarding the question of whether a conviction for driving while intoxicated (DWI) in another state qualifies as a predicate conviction that can support an in-state conviction for driving during a second license suspension for DWI under N.J.S. 2C:40-26.</w:t>
      </w:r>
      <w:r w:rsidRPr="00AE7F73">
        <w:rPr>
          <w:rFonts w:ascii="Times New Roman" w:eastAsia="Times New Roman" w:hAnsi="Times New Roman" w:cs="Times New Roman"/>
          <w:color w:val="auto"/>
          <w:sz w:val="24"/>
          <w:szCs w:val="24"/>
          <w:vertAlign w:val="superscript"/>
        </w:rPr>
        <w:footnoteReference w:id="1"/>
      </w:r>
      <w:r w:rsidRPr="00AE7F73">
        <w:rPr>
          <w:rFonts w:ascii="Times New Roman" w:eastAsia="Times New Roman" w:hAnsi="Times New Roman" w:cs="Times New Roman"/>
          <w:color w:val="auto"/>
          <w:sz w:val="24"/>
          <w:szCs w:val="24"/>
        </w:rPr>
        <w:t xml:space="preserve"> The project arose out of the Court’s decision in the case of </w:t>
      </w:r>
      <w:r w:rsidRPr="00AE7F73">
        <w:rPr>
          <w:rFonts w:ascii="Times New Roman" w:eastAsia="Times New Roman" w:hAnsi="Times New Roman" w:cs="Times New Roman"/>
          <w:i/>
          <w:color w:val="auto"/>
          <w:sz w:val="24"/>
          <w:szCs w:val="24"/>
        </w:rPr>
        <w:t>State v. Luzhak</w:t>
      </w:r>
      <w:r w:rsidRPr="00AE7F73">
        <w:rPr>
          <w:rFonts w:ascii="Times New Roman" w:eastAsia="Times New Roman" w:hAnsi="Times New Roman" w:cs="Times New Roman"/>
          <w:color w:val="auto"/>
          <w:sz w:val="24"/>
          <w:szCs w:val="24"/>
        </w:rPr>
        <w:t>, an Appellate Division case which held that a conviction for DWI in another state qualifies as a predicate conviction that can support an in-state conviction for driving during a second license suspension for DWI.</w:t>
      </w:r>
      <w:r w:rsidRPr="00AE7F73">
        <w:rPr>
          <w:rFonts w:ascii="Times New Roman" w:eastAsia="Times New Roman" w:hAnsi="Times New Roman" w:cs="Times New Roman"/>
          <w:color w:val="auto"/>
          <w:sz w:val="24"/>
          <w:szCs w:val="24"/>
          <w:vertAlign w:val="superscript"/>
        </w:rPr>
        <w:footnoteReference w:id="2"/>
      </w:r>
    </w:p>
    <w:p w:rsidR="002D545A" w:rsidRPr="00AE7F73" w:rsidRDefault="002D545A" w:rsidP="00BA4C58">
      <w:pPr>
        <w:spacing w:after="0" w:line="240" w:lineRule="auto"/>
        <w:ind w:firstLine="720"/>
        <w:jc w:val="both"/>
        <w:rPr>
          <w:rFonts w:ascii="Times New Roman" w:eastAsia="Times New Roman" w:hAnsi="Times New Roman" w:cs="Times New Roman"/>
          <w:b/>
          <w:color w:val="auto"/>
          <w:sz w:val="24"/>
          <w:szCs w:val="24"/>
        </w:rPr>
      </w:pPr>
    </w:p>
    <w:p w:rsidR="002D545A" w:rsidRPr="00AE7F73" w:rsidRDefault="00E56076" w:rsidP="00BA4C58">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Assembly B</w:t>
      </w:r>
      <w:r w:rsidR="00686F42" w:rsidRPr="00AE7F73">
        <w:rPr>
          <w:rFonts w:ascii="Times New Roman" w:eastAsia="Times New Roman" w:hAnsi="Times New Roman" w:cs="Times New Roman"/>
          <w:color w:val="auto"/>
          <w:sz w:val="24"/>
          <w:szCs w:val="24"/>
        </w:rPr>
        <w:t xml:space="preserve">ill </w:t>
      </w:r>
      <w:r w:rsidR="001B3F76" w:rsidRPr="00AE7F73">
        <w:rPr>
          <w:rFonts w:ascii="Times New Roman" w:eastAsia="Times New Roman" w:hAnsi="Times New Roman" w:cs="Times New Roman"/>
          <w:color w:val="auto"/>
          <w:sz w:val="24"/>
          <w:szCs w:val="24"/>
        </w:rPr>
        <w:t xml:space="preserve">2491, which has been introduced in the </w:t>
      </w:r>
      <w:r w:rsidR="00EB33E1" w:rsidRPr="00AE7F73">
        <w:rPr>
          <w:rFonts w:ascii="Times New Roman" w:eastAsia="Times New Roman" w:hAnsi="Times New Roman" w:cs="Times New Roman"/>
          <w:color w:val="auto"/>
          <w:sz w:val="24"/>
          <w:szCs w:val="24"/>
        </w:rPr>
        <w:t>2018-2019</w:t>
      </w:r>
      <w:r w:rsidR="001B3F76" w:rsidRPr="00AE7F73">
        <w:rPr>
          <w:rFonts w:ascii="Times New Roman" w:eastAsia="Times New Roman" w:hAnsi="Times New Roman" w:cs="Times New Roman"/>
          <w:color w:val="auto"/>
          <w:sz w:val="24"/>
          <w:szCs w:val="24"/>
        </w:rPr>
        <w:t xml:space="preserve"> Legislative session, would clarify that a conviction for DWI in another state qualifies as a predicate conviction that can support an in-state conviction </w:t>
      </w:r>
      <w:r w:rsidR="00EE558A" w:rsidRPr="00AE7F73">
        <w:rPr>
          <w:rFonts w:ascii="Times New Roman" w:eastAsia="Times New Roman" w:hAnsi="Times New Roman" w:cs="Times New Roman"/>
          <w:color w:val="auto"/>
          <w:sz w:val="24"/>
          <w:szCs w:val="24"/>
        </w:rPr>
        <w:t xml:space="preserve">under N.J.S. 2C:40-26 </w:t>
      </w:r>
      <w:r w:rsidR="001B3F76" w:rsidRPr="00AE7F73">
        <w:rPr>
          <w:rFonts w:ascii="Times New Roman" w:eastAsia="Times New Roman" w:hAnsi="Times New Roman" w:cs="Times New Roman"/>
          <w:color w:val="auto"/>
          <w:sz w:val="24"/>
          <w:szCs w:val="24"/>
        </w:rPr>
        <w:t>for driving during a second license suspension for DWI.</w:t>
      </w:r>
      <w:r w:rsidR="001B3F76" w:rsidRPr="00AE7F73">
        <w:rPr>
          <w:rFonts w:ascii="Times New Roman" w:eastAsia="Times New Roman" w:hAnsi="Times New Roman" w:cs="Times New Roman"/>
          <w:color w:val="auto"/>
          <w:sz w:val="24"/>
          <w:szCs w:val="24"/>
          <w:vertAlign w:val="superscript"/>
        </w:rPr>
        <w:footnoteReference w:id="3"/>
      </w:r>
      <w:r w:rsidR="001B3F76" w:rsidRPr="00AE7F73">
        <w:rPr>
          <w:rFonts w:ascii="Times New Roman" w:eastAsia="Times New Roman" w:hAnsi="Times New Roman" w:cs="Times New Roman"/>
          <w:color w:val="auto"/>
          <w:sz w:val="24"/>
          <w:szCs w:val="24"/>
        </w:rPr>
        <w:t xml:space="preserve"> Since the Legislature is currently pursuing action directly in the area </w:t>
      </w:r>
      <w:r w:rsidR="00B55C7C" w:rsidRPr="00AE7F73">
        <w:rPr>
          <w:rFonts w:ascii="Times New Roman" w:eastAsia="Times New Roman" w:hAnsi="Times New Roman" w:cs="Times New Roman"/>
          <w:color w:val="auto"/>
          <w:sz w:val="24"/>
          <w:szCs w:val="24"/>
        </w:rPr>
        <w:t>addressed</w:t>
      </w:r>
      <w:r w:rsidR="001B3F76" w:rsidRPr="00AE7F73">
        <w:rPr>
          <w:rFonts w:ascii="Times New Roman" w:eastAsia="Times New Roman" w:hAnsi="Times New Roman" w:cs="Times New Roman"/>
          <w:color w:val="auto"/>
          <w:sz w:val="24"/>
          <w:szCs w:val="24"/>
        </w:rPr>
        <w:t xml:space="preserve"> by this project, it is recommended that no further action be taken on this project by the Commission at this time.</w:t>
      </w:r>
    </w:p>
    <w:p w:rsidR="002D545A" w:rsidRPr="00AE7F73" w:rsidRDefault="001B3F76" w:rsidP="00BA4C58">
      <w:pPr>
        <w:spacing w:after="0" w:line="240" w:lineRule="auto"/>
        <w:jc w:val="center"/>
        <w:rPr>
          <w:rFonts w:ascii="Times New Roman" w:eastAsia="Times New Roman" w:hAnsi="Times New Roman" w:cs="Times New Roman"/>
          <w:color w:val="auto"/>
          <w:sz w:val="24"/>
          <w:szCs w:val="24"/>
        </w:rPr>
      </w:pPr>
      <w:r w:rsidRPr="00AE7F73">
        <w:rPr>
          <w:rFonts w:ascii="Times New Roman" w:eastAsia="Times New Roman" w:hAnsi="Times New Roman" w:cs="Times New Roman"/>
          <w:b/>
          <w:color w:val="auto"/>
          <w:sz w:val="24"/>
          <w:szCs w:val="24"/>
        </w:rPr>
        <w:t>Background</w:t>
      </w:r>
    </w:p>
    <w:p w:rsidR="002D545A" w:rsidRPr="00AE7F73" w:rsidRDefault="002D545A" w:rsidP="00BA4C58">
      <w:pPr>
        <w:spacing w:after="0" w:line="240" w:lineRule="auto"/>
        <w:jc w:val="both"/>
        <w:rPr>
          <w:b/>
          <w:color w:val="auto"/>
        </w:rPr>
      </w:pPr>
    </w:p>
    <w:p w:rsidR="002D545A" w:rsidRPr="00AE7F73" w:rsidRDefault="001B3F76" w:rsidP="00BA4C58">
      <w:pPr>
        <w:spacing w:after="0" w:line="240" w:lineRule="auto"/>
        <w:jc w:val="both"/>
        <w:rPr>
          <w:rFonts w:ascii="Times New Roman" w:eastAsia="Times New Roman" w:hAnsi="Times New Roman" w:cs="Times New Roman"/>
          <w:b/>
          <w:i/>
          <w:color w:val="auto"/>
          <w:sz w:val="24"/>
          <w:szCs w:val="24"/>
        </w:rPr>
      </w:pPr>
      <w:bookmarkStart w:id="0" w:name="_3aze16bhm3n3" w:colFirst="0" w:colLast="0"/>
      <w:bookmarkEnd w:id="0"/>
      <w:r w:rsidRPr="00AE7F73">
        <w:rPr>
          <w:rFonts w:ascii="Times New Roman" w:eastAsia="Times New Roman" w:hAnsi="Times New Roman" w:cs="Times New Roman"/>
          <w:b/>
          <w:i/>
          <w:color w:val="auto"/>
          <w:sz w:val="24"/>
          <w:szCs w:val="24"/>
        </w:rPr>
        <w:t>I. Statutory Overview</w:t>
      </w:r>
    </w:p>
    <w:p w:rsidR="002D545A" w:rsidRPr="00AE7F73" w:rsidRDefault="001B3F76" w:rsidP="00BA4C58">
      <w:pPr>
        <w:spacing w:after="0" w:line="240" w:lineRule="auto"/>
        <w:jc w:val="center"/>
        <w:rPr>
          <w:rFonts w:ascii="Times New Roman" w:eastAsia="Times New Roman" w:hAnsi="Times New Roman" w:cs="Times New Roman"/>
          <w:b/>
          <w:color w:val="auto"/>
          <w:sz w:val="24"/>
          <w:szCs w:val="24"/>
        </w:rPr>
      </w:pPr>
      <w:bookmarkStart w:id="1" w:name="_y15414qyzz0b" w:colFirst="0" w:colLast="0"/>
      <w:bookmarkStart w:id="2" w:name="_mo7j8rbrv6iz" w:colFirst="0" w:colLast="0"/>
      <w:bookmarkEnd w:id="1"/>
      <w:bookmarkEnd w:id="2"/>
      <w:r w:rsidRPr="00AE7F73">
        <w:rPr>
          <w:rFonts w:ascii="Times New Roman" w:eastAsia="Times New Roman" w:hAnsi="Times New Roman" w:cs="Times New Roman"/>
          <w:b/>
          <w:color w:val="auto"/>
          <w:sz w:val="24"/>
          <w:szCs w:val="24"/>
        </w:rPr>
        <w:t>N.J.S. 2C:40-26(b)</w:t>
      </w:r>
    </w:p>
    <w:p w:rsidR="002D545A" w:rsidRPr="00AE7F73" w:rsidRDefault="002D545A" w:rsidP="00BA4C58">
      <w:pPr>
        <w:spacing w:after="0" w:line="240" w:lineRule="auto"/>
        <w:jc w:val="both"/>
        <w:rPr>
          <w:rFonts w:ascii="Times New Roman" w:eastAsia="Times New Roman" w:hAnsi="Times New Roman" w:cs="Times New Roman"/>
          <w:color w:val="auto"/>
          <w:sz w:val="24"/>
          <w:szCs w:val="24"/>
        </w:rPr>
      </w:pPr>
      <w:bookmarkStart w:id="3" w:name="_h0jbsc5ujyy8" w:colFirst="0" w:colLast="0"/>
      <w:bookmarkEnd w:id="3"/>
    </w:p>
    <w:p w:rsidR="002D545A" w:rsidRPr="00AE7F73" w:rsidRDefault="00686F42" w:rsidP="00BA4C58">
      <w:pPr>
        <w:spacing w:after="0" w:line="240" w:lineRule="auto"/>
        <w:ind w:firstLine="720"/>
        <w:jc w:val="both"/>
        <w:rPr>
          <w:rFonts w:ascii="Times New Roman" w:eastAsia="Times New Roman" w:hAnsi="Times New Roman" w:cs="Times New Roman"/>
          <w:color w:val="auto"/>
          <w:sz w:val="24"/>
          <w:szCs w:val="24"/>
        </w:rPr>
      </w:pPr>
      <w:bookmarkStart w:id="4" w:name="_vb9arl1uuwsk" w:colFirst="0" w:colLast="0"/>
      <w:bookmarkEnd w:id="4"/>
      <w:r w:rsidRPr="00AE7F73">
        <w:rPr>
          <w:rFonts w:ascii="Times New Roman" w:eastAsia="Times New Roman" w:hAnsi="Times New Roman" w:cs="Times New Roman"/>
          <w:color w:val="auto"/>
          <w:sz w:val="24"/>
          <w:szCs w:val="24"/>
        </w:rPr>
        <w:t xml:space="preserve">New Jersey’s motor vehicle statute contains prohibitions and penalties </w:t>
      </w:r>
      <w:r w:rsidR="009338F0" w:rsidRPr="00AE7F73">
        <w:rPr>
          <w:rFonts w:ascii="Times New Roman" w:eastAsia="Times New Roman" w:hAnsi="Times New Roman" w:cs="Times New Roman"/>
          <w:color w:val="auto"/>
          <w:sz w:val="24"/>
          <w:szCs w:val="24"/>
        </w:rPr>
        <w:t>related to</w:t>
      </w:r>
      <w:r w:rsidRPr="00AE7F73">
        <w:rPr>
          <w:rFonts w:ascii="Times New Roman" w:eastAsia="Times New Roman" w:hAnsi="Times New Roman" w:cs="Times New Roman"/>
          <w:color w:val="auto"/>
          <w:sz w:val="24"/>
          <w:szCs w:val="24"/>
        </w:rPr>
        <w:t xml:space="preserve"> operating a motor vehicle on the roadways of New Jersey while the driver’s license is suspended.</w:t>
      </w:r>
      <w:r w:rsidR="001A20BF" w:rsidRPr="00AE7F73">
        <w:rPr>
          <w:rStyle w:val="FootnoteReference"/>
          <w:rFonts w:ascii="Times New Roman" w:eastAsia="Times New Roman" w:hAnsi="Times New Roman" w:cs="Times New Roman"/>
          <w:color w:val="auto"/>
          <w:sz w:val="24"/>
          <w:szCs w:val="24"/>
        </w:rPr>
        <w:footnoteReference w:id="4"/>
      </w:r>
      <w:r w:rsidRPr="00AE7F73">
        <w:rPr>
          <w:rFonts w:ascii="Times New Roman" w:eastAsia="Times New Roman" w:hAnsi="Times New Roman" w:cs="Times New Roman"/>
          <w:color w:val="auto"/>
          <w:sz w:val="24"/>
          <w:szCs w:val="24"/>
        </w:rPr>
        <w:t xml:space="preserve"> Additionally, New Jersey has </w:t>
      </w:r>
      <w:r w:rsidR="001A20BF" w:rsidRPr="00AE7F73">
        <w:rPr>
          <w:rFonts w:ascii="Times New Roman" w:eastAsia="Times New Roman" w:hAnsi="Times New Roman" w:cs="Times New Roman"/>
          <w:color w:val="auto"/>
          <w:sz w:val="24"/>
          <w:szCs w:val="24"/>
        </w:rPr>
        <w:t>enacted</w:t>
      </w:r>
      <w:r w:rsidR="00560CA7">
        <w:rPr>
          <w:rFonts w:ascii="Times New Roman" w:eastAsia="Times New Roman" w:hAnsi="Times New Roman" w:cs="Times New Roman"/>
          <w:color w:val="auto"/>
          <w:sz w:val="24"/>
          <w:szCs w:val="24"/>
        </w:rPr>
        <w:t xml:space="preserve"> a </w:t>
      </w:r>
      <w:r w:rsidR="00E770F5" w:rsidRPr="00AE7F73">
        <w:rPr>
          <w:rFonts w:ascii="Times New Roman" w:eastAsia="Times New Roman" w:hAnsi="Times New Roman" w:cs="Times New Roman"/>
          <w:color w:val="auto"/>
          <w:sz w:val="24"/>
          <w:szCs w:val="24"/>
        </w:rPr>
        <w:t>statute which created</w:t>
      </w:r>
      <w:r w:rsidRPr="00AE7F73">
        <w:rPr>
          <w:rFonts w:ascii="Times New Roman" w:eastAsia="Times New Roman" w:hAnsi="Times New Roman" w:cs="Times New Roman"/>
          <w:color w:val="auto"/>
          <w:sz w:val="24"/>
          <w:szCs w:val="24"/>
        </w:rPr>
        <w:t xml:space="preserve"> criminal penalties for drivers who are driving while their license is suspended as the result of one or more DWI offenses. </w:t>
      </w:r>
      <w:r w:rsidR="001B3F76" w:rsidRPr="00AE7F73">
        <w:rPr>
          <w:rFonts w:ascii="Times New Roman" w:eastAsia="Times New Roman" w:hAnsi="Times New Roman" w:cs="Times New Roman"/>
          <w:color w:val="auto"/>
          <w:sz w:val="24"/>
          <w:szCs w:val="24"/>
        </w:rPr>
        <w:t>N.J.S. 2C:40-26(b)</w:t>
      </w:r>
      <w:r w:rsidR="001A20BF" w:rsidRPr="00AE7F73">
        <w:rPr>
          <w:rFonts w:ascii="Times New Roman" w:eastAsia="Times New Roman" w:hAnsi="Times New Roman" w:cs="Times New Roman"/>
          <w:color w:val="auto"/>
          <w:sz w:val="24"/>
          <w:szCs w:val="24"/>
        </w:rPr>
        <w:t xml:space="preserve"> addresses second or subsequent instances of driving with a suspended license as the result of a DWI</w:t>
      </w:r>
      <w:r w:rsidR="00D93081">
        <w:rPr>
          <w:rFonts w:ascii="Times New Roman" w:eastAsia="Times New Roman" w:hAnsi="Times New Roman" w:cs="Times New Roman"/>
          <w:color w:val="auto"/>
          <w:sz w:val="24"/>
          <w:szCs w:val="24"/>
        </w:rPr>
        <w:t xml:space="preserve"> and </w:t>
      </w:r>
      <w:r w:rsidR="001B3F76" w:rsidRPr="00AE7F73">
        <w:rPr>
          <w:rFonts w:ascii="Times New Roman" w:eastAsia="Times New Roman" w:hAnsi="Times New Roman" w:cs="Times New Roman"/>
          <w:color w:val="auto"/>
          <w:sz w:val="24"/>
          <w:szCs w:val="24"/>
        </w:rPr>
        <w:t xml:space="preserve">provides </w:t>
      </w:r>
      <w:r w:rsidRPr="00AE7F73">
        <w:rPr>
          <w:rFonts w:ascii="Times New Roman" w:eastAsia="Times New Roman" w:hAnsi="Times New Roman" w:cs="Times New Roman"/>
          <w:color w:val="auto"/>
          <w:sz w:val="24"/>
          <w:szCs w:val="24"/>
        </w:rPr>
        <w:t>in relevant part</w:t>
      </w:r>
      <w:r w:rsidR="001B3F76" w:rsidRPr="00AE7F73">
        <w:rPr>
          <w:rFonts w:ascii="Times New Roman" w:eastAsia="Times New Roman" w:hAnsi="Times New Roman" w:cs="Times New Roman"/>
          <w:color w:val="auto"/>
          <w:sz w:val="24"/>
          <w:szCs w:val="24"/>
        </w:rPr>
        <w:t>:</w:t>
      </w:r>
    </w:p>
    <w:p w:rsidR="002D545A" w:rsidRPr="00AE7F73" w:rsidRDefault="002D545A" w:rsidP="00BA4C58">
      <w:pPr>
        <w:spacing w:after="0" w:line="240" w:lineRule="auto"/>
        <w:jc w:val="both"/>
        <w:rPr>
          <w:rFonts w:ascii="Times New Roman" w:eastAsia="Times New Roman" w:hAnsi="Times New Roman" w:cs="Times New Roman"/>
          <w:color w:val="auto"/>
          <w:sz w:val="24"/>
          <w:szCs w:val="24"/>
        </w:rPr>
      </w:pPr>
      <w:bookmarkStart w:id="5" w:name="_5i47p6et1480" w:colFirst="0" w:colLast="0"/>
      <w:bookmarkEnd w:id="5"/>
    </w:p>
    <w:p w:rsidR="002D545A" w:rsidRPr="00AE7F73" w:rsidRDefault="001B3F76" w:rsidP="00BA4C58">
      <w:pPr>
        <w:spacing w:line="240" w:lineRule="auto"/>
        <w:ind w:left="720" w:right="720"/>
        <w:jc w:val="both"/>
        <w:rPr>
          <w:rFonts w:ascii="Times New Roman" w:eastAsia="Times New Roman" w:hAnsi="Times New Roman" w:cs="Times New Roman"/>
          <w:color w:val="auto"/>
          <w:sz w:val="24"/>
          <w:szCs w:val="24"/>
        </w:rPr>
      </w:pPr>
      <w:bookmarkStart w:id="6" w:name="_rlv238t8bbb8" w:colFirst="0" w:colLast="0"/>
      <w:bookmarkEnd w:id="6"/>
      <w:r w:rsidRPr="00AE7F73">
        <w:rPr>
          <w:rFonts w:ascii="Times New Roman" w:eastAsia="Times New Roman" w:hAnsi="Times New Roman" w:cs="Times New Roman"/>
          <w:color w:val="auto"/>
          <w:sz w:val="24"/>
          <w:szCs w:val="24"/>
        </w:rPr>
        <w:t xml:space="preserve">b. It shall be a crime of the fourth degree to operate a motor vehicle during the period of license suspension in violation of [N.J.S. 39:3-40], if the actor's license was suspended or revoked for a second or subsequent violation of [N.J.S. 39:4-50]. </w:t>
      </w:r>
      <w:r w:rsidRPr="00AE7F73">
        <w:rPr>
          <w:rFonts w:ascii="Times New Roman" w:eastAsia="Times New Roman" w:hAnsi="Times New Roman" w:cs="Times New Roman"/>
          <w:color w:val="auto"/>
          <w:sz w:val="24"/>
          <w:szCs w:val="24"/>
        </w:rPr>
        <w:lastRenderedPageBreak/>
        <w:t>A person convicted of an offense under this subsection shall be sentenced by the court to a term of imprisonment.</w:t>
      </w:r>
      <w:r w:rsidRPr="00AE7F73">
        <w:rPr>
          <w:rFonts w:ascii="Times New Roman" w:eastAsia="Times New Roman" w:hAnsi="Times New Roman" w:cs="Times New Roman"/>
          <w:color w:val="auto"/>
          <w:sz w:val="24"/>
          <w:szCs w:val="24"/>
          <w:vertAlign w:val="superscript"/>
        </w:rPr>
        <w:footnoteReference w:id="5"/>
      </w:r>
    </w:p>
    <w:p w:rsidR="002D545A" w:rsidRPr="00AE7F73" w:rsidRDefault="00670393" w:rsidP="00BA4C58">
      <w:pPr>
        <w:spacing w:line="240" w:lineRule="auto"/>
        <w:ind w:right="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ab/>
        <w:t xml:space="preserve">N.J.S. 2C:40-26 as it currently appears does not </w:t>
      </w:r>
      <w:r w:rsidR="00A32D0D">
        <w:rPr>
          <w:rFonts w:ascii="Times New Roman" w:eastAsia="Times New Roman" w:hAnsi="Times New Roman" w:cs="Times New Roman"/>
          <w:color w:val="auto"/>
          <w:sz w:val="24"/>
          <w:szCs w:val="24"/>
        </w:rPr>
        <w:t xml:space="preserve">currently </w:t>
      </w:r>
      <w:r w:rsidR="00563684" w:rsidRPr="00AE7F73">
        <w:rPr>
          <w:rFonts w:ascii="Times New Roman" w:eastAsia="Times New Roman" w:hAnsi="Times New Roman" w:cs="Times New Roman"/>
          <w:color w:val="auto"/>
          <w:sz w:val="24"/>
          <w:szCs w:val="24"/>
        </w:rPr>
        <w:t xml:space="preserve">explicitly </w:t>
      </w:r>
      <w:r w:rsidRPr="00AE7F73">
        <w:rPr>
          <w:rFonts w:ascii="Times New Roman" w:eastAsia="Times New Roman" w:hAnsi="Times New Roman" w:cs="Times New Roman"/>
          <w:color w:val="auto"/>
          <w:sz w:val="24"/>
          <w:szCs w:val="24"/>
        </w:rPr>
        <w:t xml:space="preserve">indicate that out-of-state convictions for DWI or </w:t>
      </w:r>
      <w:r w:rsidR="005656F5" w:rsidRPr="00AE7F73">
        <w:rPr>
          <w:rFonts w:ascii="Times New Roman" w:eastAsia="Times New Roman" w:hAnsi="Times New Roman" w:cs="Times New Roman"/>
          <w:color w:val="auto"/>
          <w:sz w:val="24"/>
          <w:szCs w:val="24"/>
        </w:rPr>
        <w:t xml:space="preserve">substantially </w:t>
      </w:r>
      <w:r w:rsidRPr="00AE7F73">
        <w:rPr>
          <w:rFonts w:ascii="Times New Roman" w:eastAsia="Times New Roman" w:hAnsi="Times New Roman" w:cs="Times New Roman"/>
          <w:color w:val="auto"/>
          <w:sz w:val="24"/>
          <w:szCs w:val="24"/>
        </w:rPr>
        <w:t>similar offenses qualify as predicate offenses for the purposes of enforcement</w:t>
      </w:r>
      <w:bookmarkStart w:id="7" w:name="_stxdc9mmav1y" w:colFirst="0" w:colLast="0"/>
      <w:bookmarkEnd w:id="7"/>
      <w:r w:rsidR="003E020C">
        <w:rPr>
          <w:rFonts w:ascii="Times New Roman" w:eastAsia="Times New Roman" w:hAnsi="Times New Roman" w:cs="Times New Roman"/>
          <w:color w:val="auto"/>
          <w:sz w:val="24"/>
          <w:szCs w:val="24"/>
        </w:rPr>
        <w:t xml:space="preserve">. </w:t>
      </w:r>
      <w:bookmarkStart w:id="8" w:name="_GoBack"/>
      <w:bookmarkEnd w:id="8"/>
    </w:p>
    <w:p w:rsidR="002D545A" w:rsidRPr="00AE7F73" w:rsidRDefault="00332346" w:rsidP="00BA4C58">
      <w:pPr>
        <w:spacing w:after="0" w:line="240" w:lineRule="auto"/>
        <w:jc w:val="center"/>
        <w:rPr>
          <w:rFonts w:ascii="Times New Roman" w:eastAsia="Times New Roman" w:hAnsi="Times New Roman" w:cs="Times New Roman"/>
          <w:b/>
          <w:color w:val="auto"/>
          <w:sz w:val="24"/>
          <w:szCs w:val="24"/>
        </w:rPr>
      </w:pPr>
      <w:bookmarkStart w:id="9" w:name="_k48etmgci8w4" w:colFirst="0" w:colLast="0"/>
      <w:bookmarkEnd w:id="9"/>
      <w:r w:rsidRPr="00AE7F73">
        <w:rPr>
          <w:rFonts w:ascii="Times New Roman" w:eastAsia="Times New Roman" w:hAnsi="Times New Roman" w:cs="Times New Roman"/>
          <w:b/>
          <w:color w:val="auto"/>
          <w:sz w:val="24"/>
          <w:szCs w:val="24"/>
        </w:rPr>
        <w:t>Driver</w:t>
      </w:r>
      <w:r w:rsidR="001B3F76" w:rsidRPr="00AE7F73">
        <w:rPr>
          <w:rFonts w:ascii="Times New Roman" w:eastAsia="Times New Roman" w:hAnsi="Times New Roman" w:cs="Times New Roman"/>
          <w:b/>
          <w:color w:val="auto"/>
          <w:sz w:val="24"/>
          <w:szCs w:val="24"/>
        </w:rPr>
        <w:t xml:space="preserve"> License Compact</w:t>
      </w:r>
    </w:p>
    <w:p w:rsidR="002D545A" w:rsidRPr="00AE7F73" w:rsidRDefault="002D545A" w:rsidP="00BA4C58">
      <w:pPr>
        <w:spacing w:after="0" w:line="240" w:lineRule="auto"/>
        <w:jc w:val="both"/>
        <w:rPr>
          <w:rFonts w:ascii="Times New Roman" w:eastAsia="Times New Roman" w:hAnsi="Times New Roman" w:cs="Times New Roman"/>
          <w:color w:val="auto"/>
          <w:sz w:val="24"/>
          <w:szCs w:val="24"/>
        </w:rPr>
      </w:pPr>
      <w:bookmarkStart w:id="10" w:name="_z47sp6x2c0e2" w:colFirst="0" w:colLast="0"/>
      <w:bookmarkEnd w:id="10"/>
    </w:p>
    <w:p w:rsidR="002D545A" w:rsidRPr="00AE7F73" w:rsidRDefault="00332346" w:rsidP="00BA4C58">
      <w:pPr>
        <w:spacing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New Jersey is also a member state in the Driver License Compact</w:t>
      </w:r>
      <w:r w:rsidR="00920846" w:rsidRPr="00AE7F73">
        <w:rPr>
          <w:rFonts w:ascii="Times New Roman" w:eastAsia="Times New Roman" w:hAnsi="Times New Roman" w:cs="Times New Roman"/>
          <w:color w:val="auto"/>
          <w:sz w:val="24"/>
          <w:szCs w:val="24"/>
        </w:rPr>
        <w:t xml:space="preserve">, </w:t>
      </w:r>
      <w:r w:rsidRPr="00AE7F73">
        <w:rPr>
          <w:rFonts w:ascii="Times New Roman" w:eastAsia="Times New Roman" w:hAnsi="Times New Roman" w:cs="Times New Roman"/>
          <w:color w:val="auto"/>
          <w:sz w:val="24"/>
          <w:szCs w:val="24"/>
        </w:rPr>
        <w:t>an interstate compact</w:t>
      </w:r>
      <w:r w:rsidR="0099118B" w:rsidRPr="00AE7F73">
        <w:rPr>
          <w:rFonts w:ascii="Times New Roman" w:eastAsia="Times New Roman" w:hAnsi="Times New Roman" w:cs="Times New Roman"/>
          <w:color w:val="auto"/>
          <w:sz w:val="24"/>
          <w:szCs w:val="24"/>
        </w:rPr>
        <w:t xml:space="preserve"> which provides for the sharing of data between states regarding motor vehicle offenses and provides for reciprocity of driving privileges among the member states.</w:t>
      </w:r>
      <w:r w:rsidR="0099118B" w:rsidRPr="00AE7F73">
        <w:rPr>
          <w:rStyle w:val="FootnoteReference"/>
          <w:rFonts w:ascii="Times New Roman" w:eastAsia="Times New Roman" w:hAnsi="Times New Roman" w:cs="Times New Roman"/>
          <w:color w:val="auto"/>
          <w:sz w:val="24"/>
          <w:szCs w:val="24"/>
        </w:rPr>
        <w:footnoteReference w:id="6"/>
      </w:r>
      <w:r w:rsidR="0099118B" w:rsidRPr="00AE7F73">
        <w:rPr>
          <w:rFonts w:ascii="Times New Roman" w:eastAsia="Times New Roman" w:hAnsi="Times New Roman" w:cs="Times New Roman"/>
          <w:color w:val="auto"/>
          <w:sz w:val="24"/>
          <w:szCs w:val="24"/>
        </w:rPr>
        <w:t xml:space="preserve"> </w:t>
      </w:r>
      <w:r w:rsidR="001B3F76" w:rsidRPr="00AE7F73">
        <w:rPr>
          <w:rFonts w:ascii="Times New Roman" w:eastAsia="Times New Roman" w:hAnsi="Times New Roman" w:cs="Times New Roman"/>
          <w:color w:val="auto"/>
          <w:sz w:val="24"/>
          <w:szCs w:val="24"/>
        </w:rPr>
        <w:t>The DLC</w:t>
      </w:r>
      <w:r w:rsidR="0099118B" w:rsidRPr="00AE7F73">
        <w:rPr>
          <w:rFonts w:ascii="Times New Roman" w:eastAsia="Times New Roman" w:hAnsi="Times New Roman" w:cs="Times New Roman"/>
          <w:color w:val="auto"/>
          <w:sz w:val="24"/>
          <w:szCs w:val="24"/>
        </w:rPr>
        <w:t xml:space="preserve"> states in part</w:t>
      </w:r>
      <w:r w:rsidR="001B3F76" w:rsidRPr="00AE7F73">
        <w:rPr>
          <w:rFonts w:ascii="Times New Roman" w:eastAsia="Times New Roman" w:hAnsi="Times New Roman" w:cs="Times New Roman"/>
          <w:color w:val="auto"/>
          <w:sz w:val="24"/>
          <w:szCs w:val="24"/>
        </w:rPr>
        <w:t>:</w:t>
      </w:r>
    </w:p>
    <w:p w:rsidR="002D545A" w:rsidRPr="00AE7F73" w:rsidRDefault="001B3F76" w:rsidP="00BA4C58">
      <w:pPr>
        <w:spacing w:line="240" w:lineRule="auto"/>
        <w:ind w:left="720" w:right="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It is the policy of each of the party States to:</w:t>
      </w:r>
      <w:r w:rsidR="009B2718" w:rsidRPr="00AE7F73">
        <w:rPr>
          <w:rFonts w:ascii="Times New Roman" w:eastAsia="Times New Roman" w:hAnsi="Times New Roman" w:cs="Times New Roman"/>
          <w:color w:val="auto"/>
          <w:sz w:val="24"/>
          <w:szCs w:val="24"/>
        </w:rPr>
        <w:t xml:space="preserve"> </w:t>
      </w:r>
    </w:p>
    <w:p w:rsidR="002D545A" w:rsidRPr="00AE7F73" w:rsidRDefault="001B3F76" w:rsidP="00BA4C58">
      <w:pPr>
        <w:spacing w:line="240" w:lineRule="auto"/>
        <w:ind w:left="720" w:right="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(1) Promote compliance with the laws, ordinances, and administrative rules and regulations relating to the operation of motor vehicles by their operators in each of the jurisdictions where such operators drive motor vehicles.</w:t>
      </w:r>
    </w:p>
    <w:p w:rsidR="002D545A" w:rsidRPr="00AE7F73" w:rsidRDefault="001B3F76" w:rsidP="00BA4C58">
      <w:pPr>
        <w:spacing w:line="240" w:lineRule="auto"/>
        <w:ind w:left="720" w:right="720"/>
        <w:jc w:val="both"/>
        <w:rPr>
          <w:rFonts w:ascii="Times New Roman" w:eastAsia="Times New Roman" w:hAnsi="Times New Roman" w:cs="Times New Roman"/>
          <w:color w:val="auto"/>
          <w:sz w:val="24"/>
          <w:szCs w:val="24"/>
        </w:rPr>
      </w:pPr>
      <w:bookmarkStart w:id="11" w:name="_v6hh56i5xxb4" w:colFirst="0" w:colLast="0"/>
      <w:bookmarkEnd w:id="11"/>
      <w:r w:rsidRPr="00AE7F73">
        <w:rPr>
          <w:rFonts w:ascii="Times New Roman" w:eastAsia="Times New Roman" w:hAnsi="Times New Roman" w:cs="Times New Roman"/>
          <w:color w:val="auto"/>
          <w:sz w:val="24"/>
          <w:szCs w:val="24"/>
        </w:rPr>
        <w:t>(2) Make the reciprocal recognition of licenses to drive and eligibility therefor more just and equitable by considering the over-all compliance with motor vehicle laws, ordinances and administrative rules and regulations as a condition precedent to the continuance or issuance of any license by reason of which the licensee is authorized or permitted to operate a motor vehicle in any of the party States.</w:t>
      </w:r>
      <w:r w:rsidRPr="00AE7F73">
        <w:rPr>
          <w:rFonts w:ascii="Times New Roman" w:eastAsia="Times New Roman" w:hAnsi="Times New Roman" w:cs="Times New Roman"/>
          <w:color w:val="auto"/>
          <w:sz w:val="24"/>
          <w:szCs w:val="24"/>
          <w:vertAlign w:val="superscript"/>
        </w:rPr>
        <w:footnoteReference w:id="7"/>
      </w:r>
    </w:p>
    <w:p w:rsidR="00EE4E51" w:rsidRPr="00AE7F73" w:rsidRDefault="00332346" w:rsidP="00135F0E">
      <w:pPr>
        <w:spacing w:after="0" w:line="240" w:lineRule="auto"/>
        <w:ind w:firstLine="720"/>
        <w:jc w:val="both"/>
        <w:rPr>
          <w:rFonts w:ascii="Times New Roman" w:eastAsia="Times New Roman" w:hAnsi="Times New Roman" w:cs="Times New Roman"/>
          <w:color w:val="auto"/>
          <w:sz w:val="24"/>
          <w:szCs w:val="24"/>
        </w:rPr>
      </w:pPr>
      <w:bookmarkStart w:id="12" w:name="_ifhoz6cn3fbb"/>
      <w:bookmarkEnd w:id="12"/>
      <w:r w:rsidRPr="00AE7F73">
        <w:rPr>
          <w:rFonts w:ascii="Times New Roman" w:eastAsia="Times New Roman" w:hAnsi="Times New Roman" w:cs="Times New Roman"/>
          <w:color w:val="auto"/>
          <w:sz w:val="24"/>
          <w:szCs w:val="24"/>
        </w:rPr>
        <w:t xml:space="preserve">While the Compact </w:t>
      </w:r>
      <w:r w:rsidR="006D2A94">
        <w:rPr>
          <w:rFonts w:ascii="Times New Roman" w:eastAsia="Times New Roman" w:hAnsi="Times New Roman" w:cs="Times New Roman"/>
          <w:color w:val="auto"/>
          <w:sz w:val="24"/>
          <w:szCs w:val="24"/>
        </w:rPr>
        <w:t>bears on the issue of</w:t>
      </w:r>
      <w:r w:rsidRPr="00AE7F73">
        <w:rPr>
          <w:rFonts w:ascii="Times New Roman" w:eastAsia="Times New Roman" w:hAnsi="Times New Roman" w:cs="Times New Roman"/>
          <w:color w:val="auto"/>
          <w:sz w:val="24"/>
          <w:szCs w:val="24"/>
        </w:rPr>
        <w:t xml:space="preserve"> recognizin</w:t>
      </w:r>
      <w:r w:rsidR="00920846" w:rsidRPr="00AE7F73">
        <w:rPr>
          <w:rFonts w:ascii="Times New Roman" w:eastAsia="Times New Roman" w:hAnsi="Times New Roman" w:cs="Times New Roman"/>
          <w:color w:val="auto"/>
          <w:sz w:val="24"/>
          <w:szCs w:val="24"/>
        </w:rPr>
        <w:t>g DWI or substantially similar</w:t>
      </w:r>
      <w:r w:rsidR="0099118B" w:rsidRPr="00AE7F73">
        <w:rPr>
          <w:rFonts w:ascii="Times New Roman" w:eastAsia="Times New Roman" w:hAnsi="Times New Roman" w:cs="Times New Roman"/>
          <w:color w:val="auto"/>
          <w:sz w:val="24"/>
          <w:szCs w:val="24"/>
        </w:rPr>
        <w:t xml:space="preserve"> convictions</w:t>
      </w:r>
      <w:r w:rsidR="009B2718" w:rsidRPr="00AE7F73">
        <w:rPr>
          <w:rFonts w:ascii="Times New Roman" w:eastAsia="Times New Roman" w:hAnsi="Times New Roman" w:cs="Times New Roman"/>
          <w:color w:val="auto"/>
          <w:sz w:val="24"/>
          <w:szCs w:val="24"/>
        </w:rPr>
        <w:t xml:space="preserve"> from</w:t>
      </w:r>
      <w:r w:rsidR="0099118B" w:rsidRPr="00AE7F73">
        <w:rPr>
          <w:rFonts w:ascii="Times New Roman" w:eastAsia="Times New Roman" w:hAnsi="Times New Roman" w:cs="Times New Roman"/>
          <w:color w:val="auto"/>
          <w:sz w:val="24"/>
          <w:szCs w:val="24"/>
        </w:rPr>
        <w:t xml:space="preserve"> other states</w:t>
      </w:r>
      <w:r w:rsidR="009B2718" w:rsidRPr="00AE7F73">
        <w:rPr>
          <w:rFonts w:ascii="Times New Roman" w:eastAsia="Times New Roman" w:hAnsi="Times New Roman" w:cs="Times New Roman"/>
          <w:color w:val="auto"/>
          <w:sz w:val="24"/>
          <w:szCs w:val="24"/>
        </w:rPr>
        <w:t xml:space="preserve"> for purposes of N.J.S. 2C:40-26</w:t>
      </w:r>
      <w:r w:rsidR="0099118B" w:rsidRPr="00AE7F73">
        <w:rPr>
          <w:rFonts w:ascii="Times New Roman" w:eastAsia="Times New Roman" w:hAnsi="Times New Roman" w:cs="Times New Roman"/>
          <w:color w:val="auto"/>
          <w:sz w:val="24"/>
          <w:szCs w:val="24"/>
        </w:rPr>
        <w:t xml:space="preserve">, the Legislature has also indicated that New Jersey recognizes the motor vehicle laws of other states in the area of drunk driving, regardless of whether they are members of the DLC. </w:t>
      </w:r>
      <w:r w:rsidR="00EE4E51" w:rsidRPr="00AE7F73">
        <w:rPr>
          <w:rFonts w:ascii="Times New Roman" w:eastAsia="Times New Roman" w:hAnsi="Times New Roman" w:cs="Times New Roman"/>
          <w:color w:val="auto"/>
          <w:sz w:val="24"/>
          <w:szCs w:val="24"/>
        </w:rPr>
        <w:t>Following the Court's decision to recognize an out-of-state DWI from New York State as a prior offense for enhanced sentencing purposes on a subsequent DWI conviction in New Jersey,</w:t>
      </w:r>
      <w:r w:rsidR="00F01A76" w:rsidRPr="00AE7F73">
        <w:rPr>
          <w:rStyle w:val="FootnoteReference"/>
          <w:rFonts w:ascii="Times New Roman" w:eastAsia="Times New Roman" w:hAnsi="Times New Roman" w:cs="Times New Roman"/>
          <w:color w:val="auto"/>
          <w:sz w:val="24"/>
          <w:szCs w:val="24"/>
        </w:rPr>
        <w:footnoteReference w:id="8"/>
      </w:r>
      <w:r w:rsidR="00EE4E51" w:rsidRPr="00AE7F73">
        <w:rPr>
          <w:rFonts w:ascii="Times New Roman" w:eastAsia="Times New Roman" w:hAnsi="Times New Roman" w:cs="Times New Roman"/>
          <w:color w:val="auto"/>
          <w:sz w:val="24"/>
          <w:szCs w:val="24"/>
        </w:rPr>
        <w:t xml:space="preserve"> the Legislature amended N.J.S. 39:4-50(a)(3)</w:t>
      </w:r>
      <w:r w:rsidR="00C52631" w:rsidRPr="00AE7F73">
        <w:rPr>
          <w:rFonts w:ascii="Times New Roman" w:eastAsia="Times New Roman" w:hAnsi="Times New Roman" w:cs="Times New Roman"/>
          <w:color w:val="auto"/>
          <w:sz w:val="24"/>
          <w:szCs w:val="24"/>
        </w:rPr>
        <w:t xml:space="preserve">, part of New Jersey’s </w:t>
      </w:r>
      <w:r w:rsidR="00B55250" w:rsidRPr="00AE7F73">
        <w:rPr>
          <w:rFonts w:ascii="Times New Roman" w:eastAsia="Times New Roman" w:hAnsi="Times New Roman" w:cs="Times New Roman"/>
          <w:color w:val="auto"/>
          <w:sz w:val="24"/>
          <w:szCs w:val="24"/>
        </w:rPr>
        <w:t xml:space="preserve">DWI </w:t>
      </w:r>
      <w:r w:rsidR="00C52631" w:rsidRPr="00AE7F73">
        <w:rPr>
          <w:rFonts w:ascii="Times New Roman" w:eastAsia="Times New Roman" w:hAnsi="Times New Roman" w:cs="Times New Roman"/>
          <w:color w:val="auto"/>
          <w:sz w:val="24"/>
          <w:szCs w:val="24"/>
        </w:rPr>
        <w:t>statute,</w:t>
      </w:r>
      <w:r w:rsidR="00EE4E51" w:rsidRPr="00AE7F73">
        <w:rPr>
          <w:rFonts w:ascii="Times New Roman" w:eastAsia="Times New Roman" w:hAnsi="Times New Roman" w:cs="Times New Roman"/>
          <w:color w:val="auto"/>
          <w:sz w:val="24"/>
          <w:szCs w:val="24"/>
        </w:rPr>
        <w:t xml:space="preserve"> to read as follows:</w:t>
      </w:r>
      <w:r w:rsidR="002C6C8B">
        <w:rPr>
          <w:rFonts w:ascii="Times New Roman" w:eastAsia="Times New Roman" w:hAnsi="Times New Roman" w:cs="Times New Roman"/>
          <w:color w:val="auto"/>
          <w:sz w:val="24"/>
          <w:szCs w:val="24"/>
        </w:rPr>
        <w:t xml:space="preserve"> </w:t>
      </w:r>
    </w:p>
    <w:p w:rsidR="00EE4E51" w:rsidRPr="00AE7F73" w:rsidRDefault="00EE4E51" w:rsidP="00BA4C58">
      <w:pPr>
        <w:spacing w:after="0" w:line="240" w:lineRule="auto"/>
        <w:jc w:val="both"/>
        <w:rPr>
          <w:rFonts w:ascii="Times New Roman" w:eastAsia="Times New Roman" w:hAnsi="Times New Roman" w:cs="Times New Roman"/>
          <w:color w:val="auto"/>
          <w:sz w:val="24"/>
          <w:szCs w:val="24"/>
        </w:rPr>
      </w:pPr>
    </w:p>
    <w:p w:rsidR="002D545A" w:rsidRPr="00AE7F73" w:rsidRDefault="00EE4E51" w:rsidP="00BA4C58">
      <w:pPr>
        <w:spacing w:after="0" w:line="240" w:lineRule="auto"/>
        <w:ind w:left="720" w:right="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A conviction of a violation of a law of a substantially similar nature in another jurisdiction, regardless of whether that jurisdiction is a signatory to the [DLC] ... shall constitute a prior conviction under this subsection</w:t>
      </w:r>
      <w:r w:rsidR="005656F5" w:rsidRPr="00AE7F73">
        <w:rPr>
          <w:rFonts w:ascii="Times New Roman" w:eastAsia="Times New Roman" w:hAnsi="Times New Roman" w:cs="Times New Roman"/>
          <w:color w:val="auto"/>
          <w:sz w:val="24"/>
          <w:szCs w:val="24"/>
        </w:rPr>
        <w:t>…</w:t>
      </w:r>
      <w:r w:rsidRPr="00AE7F73">
        <w:rPr>
          <w:rStyle w:val="FootnoteReference"/>
          <w:rFonts w:ascii="Times New Roman" w:eastAsia="Times New Roman" w:hAnsi="Times New Roman" w:cs="Times New Roman"/>
          <w:color w:val="auto"/>
          <w:sz w:val="24"/>
          <w:szCs w:val="24"/>
        </w:rPr>
        <w:footnoteReference w:id="9"/>
      </w:r>
      <w:r w:rsidR="0099118B" w:rsidRPr="00AE7F73">
        <w:rPr>
          <w:rFonts w:ascii="Times New Roman" w:eastAsia="Times New Roman" w:hAnsi="Times New Roman" w:cs="Times New Roman"/>
          <w:color w:val="auto"/>
          <w:sz w:val="24"/>
          <w:szCs w:val="24"/>
        </w:rPr>
        <w:t xml:space="preserve"> </w:t>
      </w:r>
    </w:p>
    <w:p w:rsidR="0099118B" w:rsidRPr="00AE7F73" w:rsidRDefault="0099118B" w:rsidP="00BA4C58">
      <w:pPr>
        <w:spacing w:after="0" w:line="240" w:lineRule="auto"/>
        <w:jc w:val="both"/>
        <w:rPr>
          <w:rFonts w:ascii="Times New Roman" w:eastAsia="Times New Roman" w:hAnsi="Times New Roman" w:cs="Times New Roman"/>
          <w:color w:val="auto"/>
          <w:sz w:val="24"/>
          <w:szCs w:val="24"/>
        </w:rPr>
      </w:pPr>
    </w:p>
    <w:p w:rsidR="005656F5" w:rsidRPr="00AE7F73" w:rsidRDefault="005656F5" w:rsidP="00BA4C58">
      <w:pPr>
        <w:spacing w:after="0" w:line="240" w:lineRule="auto"/>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ab/>
      </w:r>
      <w:r w:rsidR="00BD510E" w:rsidRPr="00AE7F73">
        <w:rPr>
          <w:rFonts w:ascii="Times New Roman" w:eastAsia="Times New Roman" w:hAnsi="Times New Roman" w:cs="Times New Roman"/>
          <w:color w:val="auto"/>
          <w:sz w:val="24"/>
          <w:szCs w:val="24"/>
        </w:rPr>
        <w:t>T</w:t>
      </w:r>
      <w:r w:rsidRPr="00AE7F73">
        <w:rPr>
          <w:rFonts w:ascii="Times New Roman" w:eastAsia="Times New Roman" w:hAnsi="Times New Roman" w:cs="Times New Roman"/>
          <w:color w:val="auto"/>
          <w:sz w:val="24"/>
          <w:szCs w:val="24"/>
        </w:rPr>
        <w:t xml:space="preserve">he Compact evidences the Legislature’s policy intention that out-of-state DWI or substantially similar offenses should be treated as prior offenses within New Jersey for purposes of enforcement and sentencing, but </w:t>
      </w:r>
      <w:r w:rsidR="00BD510E" w:rsidRPr="00AE7F73">
        <w:rPr>
          <w:rFonts w:ascii="Times New Roman" w:eastAsia="Times New Roman" w:hAnsi="Times New Roman" w:cs="Times New Roman"/>
          <w:color w:val="auto"/>
          <w:sz w:val="24"/>
          <w:szCs w:val="24"/>
        </w:rPr>
        <w:t>in addition,</w:t>
      </w:r>
      <w:r w:rsidRPr="00AE7F73">
        <w:rPr>
          <w:rFonts w:ascii="Times New Roman" w:eastAsia="Times New Roman" w:hAnsi="Times New Roman" w:cs="Times New Roman"/>
          <w:color w:val="auto"/>
          <w:sz w:val="24"/>
          <w:szCs w:val="24"/>
        </w:rPr>
        <w:t xml:space="preserve"> the policy consideration</w:t>
      </w:r>
      <w:r w:rsidR="00BD510E" w:rsidRPr="00AE7F73">
        <w:rPr>
          <w:rFonts w:ascii="Times New Roman" w:eastAsia="Times New Roman" w:hAnsi="Times New Roman" w:cs="Times New Roman"/>
          <w:color w:val="auto"/>
          <w:sz w:val="24"/>
          <w:szCs w:val="24"/>
        </w:rPr>
        <w:t xml:space="preserve"> against DWI offenses in New Jersey</w:t>
      </w:r>
      <w:r w:rsidRPr="00AE7F73">
        <w:rPr>
          <w:rFonts w:ascii="Times New Roman" w:eastAsia="Times New Roman" w:hAnsi="Times New Roman" w:cs="Times New Roman"/>
          <w:color w:val="auto"/>
          <w:sz w:val="24"/>
          <w:szCs w:val="24"/>
        </w:rPr>
        <w:t xml:space="preserve"> is so strong that even violations occurring in </w:t>
      </w:r>
      <w:r w:rsidR="00BD510E" w:rsidRPr="00AE7F73">
        <w:rPr>
          <w:rFonts w:ascii="Times New Roman" w:eastAsia="Times New Roman" w:hAnsi="Times New Roman" w:cs="Times New Roman"/>
          <w:color w:val="auto"/>
          <w:sz w:val="24"/>
          <w:szCs w:val="24"/>
        </w:rPr>
        <w:t>a state</w:t>
      </w:r>
      <w:r w:rsidRPr="00AE7F73">
        <w:rPr>
          <w:rFonts w:ascii="Times New Roman" w:eastAsia="Times New Roman" w:hAnsi="Times New Roman" w:cs="Times New Roman"/>
          <w:color w:val="auto"/>
          <w:sz w:val="24"/>
          <w:szCs w:val="24"/>
        </w:rPr>
        <w:t xml:space="preserve"> which is not a member of the DLC are considered for purposes of DWI enforcement actions </w:t>
      </w:r>
      <w:r w:rsidR="00BB5C10" w:rsidRPr="00AE7F73">
        <w:rPr>
          <w:rFonts w:ascii="Times New Roman" w:eastAsia="Times New Roman" w:hAnsi="Times New Roman" w:cs="Times New Roman"/>
          <w:color w:val="auto"/>
          <w:sz w:val="24"/>
          <w:szCs w:val="24"/>
        </w:rPr>
        <w:t>under New Jersey’s DWI statute, N.J.S. 39:4-50</w:t>
      </w:r>
      <w:r w:rsidR="000428F5">
        <w:rPr>
          <w:rFonts w:ascii="Times New Roman" w:eastAsia="Times New Roman" w:hAnsi="Times New Roman" w:cs="Times New Roman"/>
          <w:color w:val="auto"/>
          <w:sz w:val="24"/>
          <w:szCs w:val="24"/>
        </w:rPr>
        <w:t xml:space="preserve"> </w:t>
      </w:r>
      <w:r w:rsidR="000428F5" w:rsidRPr="000428F5">
        <w:rPr>
          <w:rFonts w:ascii="Times New Roman" w:eastAsia="Times New Roman" w:hAnsi="Times New Roman" w:cs="Times New Roman"/>
          <w:i/>
          <w:color w:val="auto"/>
          <w:sz w:val="24"/>
          <w:szCs w:val="24"/>
        </w:rPr>
        <w:t>et. seq</w:t>
      </w:r>
      <w:r w:rsidRPr="00AE7F73">
        <w:rPr>
          <w:rFonts w:ascii="Times New Roman" w:eastAsia="Times New Roman" w:hAnsi="Times New Roman" w:cs="Times New Roman"/>
          <w:color w:val="auto"/>
          <w:sz w:val="24"/>
          <w:szCs w:val="24"/>
        </w:rPr>
        <w:t xml:space="preserve">.   </w:t>
      </w:r>
    </w:p>
    <w:p w:rsidR="002D545A" w:rsidRPr="00AE7F73" w:rsidRDefault="001B3F76" w:rsidP="00BA4C58">
      <w:pPr>
        <w:spacing w:after="0" w:line="240" w:lineRule="auto"/>
        <w:jc w:val="both"/>
        <w:rPr>
          <w:rFonts w:ascii="Times New Roman" w:eastAsia="Times New Roman" w:hAnsi="Times New Roman" w:cs="Times New Roman"/>
          <w:b/>
          <w:i/>
          <w:color w:val="auto"/>
          <w:sz w:val="24"/>
          <w:szCs w:val="24"/>
        </w:rPr>
      </w:pPr>
      <w:bookmarkStart w:id="13" w:name="_3qt5ajvxc8dd" w:colFirst="0" w:colLast="0"/>
      <w:bookmarkStart w:id="14" w:name="_5vj9h979jbk3" w:colFirst="0" w:colLast="0"/>
      <w:bookmarkStart w:id="15" w:name="_s5z6auhvngj7" w:colFirst="0" w:colLast="0"/>
      <w:bookmarkEnd w:id="13"/>
      <w:bookmarkEnd w:id="14"/>
      <w:bookmarkEnd w:id="15"/>
      <w:r w:rsidRPr="00AE7F73">
        <w:rPr>
          <w:rFonts w:ascii="Times New Roman" w:eastAsia="Times New Roman" w:hAnsi="Times New Roman" w:cs="Times New Roman"/>
          <w:b/>
          <w:i/>
          <w:color w:val="auto"/>
          <w:sz w:val="24"/>
          <w:szCs w:val="24"/>
        </w:rPr>
        <w:lastRenderedPageBreak/>
        <w:t>II. Case Law Response</w:t>
      </w:r>
    </w:p>
    <w:p w:rsidR="002D545A" w:rsidRPr="00AE7F73" w:rsidRDefault="001B3F76" w:rsidP="00BA4C58">
      <w:pPr>
        <w:spacing w:after="0" w:line="240" w:lineRule="auto"/>
        <w:jc w:val="center"/>
        <w:rPr>
          <w:rFonts w:ascii="Times New Roman" w:eastAsia="Times New Roman" w:hAnsi="Times New Roman" w:cs="Times New Roman"/>
          <w:b/>
          <w:i/>
          <w:color w:val="auto"/>
          <w:sz w:val="24"/>
          <w:szCs w:val="24"/>
        </w:rPr>
      </w:pPr>
      <w:bookmarkStart w:id="16" w:name="_irwdnkb3zfgt" w:colFirst="0" w:colLast="0"/>
      <w:bookmarkStart w:id="17" w:name="_yz3d1gexjfij" w:colFirst="0" w:colLast="0"/>
      <w:bookmarkEnd w:id="16"/>
      <w:bookmarkEnd w:id="17"/>
      <w:r w:rsidRPr="00AE7F73">
        <w:rPr>
          <w:rFonts w:ascii="Times New Roman" w:eastAsia="Times New Roman" w:hAnsi="Times New Roman" w:cs="Times New Roman"/>
          <w:b/>
          <w:i/>
          <w:color w:val="auto"/>
          <w:sz w:val="24"/>
          <w:szCs w:val="24"/>
        </w:rPr>
        <w:t>State v. Luzhak</w:t>
      </w:r>
    </w:p>
    <w:p w:rsidR="002D545A" w:rsidRPr="00AE7F73" w:rsidRDefault="002D545A" w:rsidP="00BA4C58">
      <w:pPr>
        <w:spacing w:after="0" w:line="240" w:lineRule="auto"/>
        <w:jc w:val="both"/>
        <w:rPr>
          <w:rFonts w:ascii="Times New Roman" w:eastAsia="Times New Roman" w:hAnsi="Times New Roman" w:cs="Times New Roman"/>
          <w:color w:val="auto"/>
          <w:sz w:val="24"/>
          <w:szCs w:val="24"/>
        </w:rPr>
      </w:pPr>
      <w:bookmarkStart w:id="18" w:name="_lsrq4r6jr4a6" w:colFirst="0" w:colLast="0"/>
      <w:bookmarkEnd w:id="18"/>
    </w:p>
    <w:p w:rsidR="002D545A" w:rsidRPr="00AE7F73" w:rsidRDefault="001B3F76" w:rsidP="00BA4C58">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 xml:space="preserve">In </w:t>
      </w:r>
      <w:r w:rsidRPr="00AE7F73">
        <w:rPr>
          <w:rFonts w:ascii="Times New Roman" w:eastAsia="Times New Roman" w:hAnsi="Times New Roman" w:cs="Times New Roman"/>
          <w:i/>
          <w:color w:val="auto"/>
          <w:sz w:val="24"/>
          <w:szCs w:val="24"/>
        </w:rPr>
        <w:t>Luzhak</w:t>
      </w:r>
      <w:r w:rsidRPr="00AE7F73">
        <w:rPr>
          <w:rFonts w:ascii="Times New Roman" w:eastAsia="Times New Roman" w:hAnsi="Times New Roman" w:cs="Times New Roman"/>
          <w:color w:val="auto"/>
          <w:sz w:val="24"/>
          <w:szCs w:val="24"/>
        </w:rPr>
        <w:t>, the defendant was issued a motor vehicle summons in Woodbridge for driving with a suspended license in violation of N.J.S. 39:3–40, following a minor car accident in a parking lot.</w:t>
      </w:r>
      <w:r w:rsidRPr="00AE7F73">
        <w:rPr>
          <w:rFonts w:ascii="Times New Roman" w:eastAsia="Times New Roman" w:hAnsi="Times New Roman" w:cs="Times New Roman"/>
          <w:color w:val="auto"/>
          <w:sz w:val="24"/>
          <w:szCs w:val="24"/>
          <w:vertAlign w:val="superscript"/>
        </w:rPr>
        <w:footnoteReference w:id="10"/>
      </w:r>
      <w:r w:rsidRPr="00AE7F73">
        <w:rPr>
          <w:rFonts w:ascii="Times New Roman" w:eastAsia="Times New Roman" w:hAnsi="Times New Roman" w:cs="Times New Roman"/>
          <w:color w:val="auto"/>
          <w:sz w:val="24"/>
          <w:szCs w:val="24"/>
        </w:rPr>
        <w:t xml:space="preserve"> At the time, defendant had two prior DWI convictions: a March 2013 conviction in Maryland, and an April 2010 conviction in New Jersey.</w:t>
      </w:r>
      <w:r w:rsidRPr="00AE7F73">
        <w:rPr>
          <w:rFonts w:ascii="Times New Roman" w:eastAsia="Times New Roman" w:hAnsi="Times New Roman" w:cs="Times New Roman"/>
          <w:color w:val="auto"/>
          <w:sz w:val="24"/>
          <w:szCs w:val="24"/>
          <w:vertAlign w:val="superscript"/>
        </w:rPr>
        <w:footnoteReference w:id="11"/>
      </w:r>
      <w:r w:rsidRPr="00AE7F73">
        <w:rPr>
          <w:rFonts w:ascii="Times New Roman" w:eastAsia="Times New Roman" w:hAnsi="Times New Roman" w:cs="Times New Roman"/>
          <w:color w:val="auto"/>
          <w:sz w:val="24"/>
          <w:szCs w:val="24"/>
        </w:rPr>
        <w:t xml:space="preserve"> Subsequently, defendant was indicted by a Middlesex County Grand Jury for fourth-degree operating a motor vehicle during a second license suspension stemming from a DWI, in violation of N.J.S. 2C:40–26(b).</w:t>
      </w:r>
      <w:r w:rsidRPr="00AE7F73">
        <w:rPr>
          <w:rFonts w:ascii="Times New Roman" w:eastAsia="Times New Roman" w:hAnsi="Times New Roman" w:cs="Times New Roman"/>
          <w:color w:val="auto"/>
          <w:sz w:val="24"/>
          <w:szCs w:val="24"/>
          <w:vertAlign w:val="superscript"/>
        </w:rPr>
        <w:footnoteReference w:id="12"/>
      </w:r>
      <w:r w:rsidRPr="00AE7F73">
        <w:rPr>
          <w:rFonts w:ascii="Times New Roman" w:eastAsia="Times New Roman" w:hAnsi="Times New Roman" w:cs="Times New Roman"/>
          <w:color w:val="auto"/>
          <w:sz w:val="24"/>
          <w:szCs w:val="24"/>
        </w:rPr>
        <w:t xml:space="preserve"> Defendant filed a motion to dismiss the indictment, arguing the March 2013 conviction in Maryland did not qualify as a predicate DWI conviction pursuant to N.J.S. 2C:40–26(b).</w:t>
      </w:r>
      <w:r w:rsidRPr="00AE7F73">
        <w:rPr>
          <w:rFonts w:ascii="Times New Roman" w:eastAsia="Times New Roman" w:hAnsi="Times New Roman" w:cs="Times New Roman"/>
          <w:color w:val="auto"/>
          <w:sz w:val="24"/>
          <w:szCs w:val="24"/>
          <w:vertAlign w:val="superscript"/>
        </w:rPr>
        <w:footnoteReference w:id="13"/>
      </w:r>
      <w:r w:rsidRPr="00AE7F73">
        <w:rPr>
          <w:rFonts w:ascii="Times New Roman" w:eastAsia="Times New Roman" w:hAnsi="Times New Roman" w:cs="Times New Roman"/>
          <w:color w:val="auto"/>
          <w:sz w:val="24"/>
          <w:szCs w:val="24"/>
        </w:rPr>
        <w:t xml:space="preserve"> The motion was denied.</w:t>
      </w:r>
      <w:r w:rsidRPr="00AE7F73">
        <w:rPr>
          <w:rFonts w:ascii="Times New Roman" w:eastAsia="Times New Roman" w:hAnsi="Times New Roman" w:cs="Times New Roman"/>
          <w:color w:val="auto"/>
          <w:sz w:val="24"/>
          <w:szCs w:val="24"/>
          <w:vertAlign w:val="superscript"/>
        </w:rPr>
        <w:footnoteReference w:id="14"/>
      </w:r>
      <w:r w:rsidRPr="00AE7F73">
        <w:rPr>
          <w:rFonts w:ascii="Times New Roman" w:eastAsia="Times New Roman" w:hAnsi="Times New Roman" w:cs="Times New Roman"/>
          <w:color w:val="auto"/>
          <w:sz w:val="24"/>
          <w:szCs w:val="24"/>
        </w:rPr>
        <w:t xml:space="preserve"> Defendant </w:t>
      </w:r>
      <w:r w:rsidR="009F3B4E">
        <w:rPr>
          <w:rFonts w:ascii="Times New Roman" w:eastAsia="Times New Roman" w:hAnsi="Times New Roman" w:cs="Times New Roman"/>
          <w:color w:val="auto"/>
          <w:sz w:val="24"/>
          <w:szCs w:val="24"/>
        </w:rPr>
        <w:t>then pled guilty to</w:t>
      </w:r>
      <w:r w:rsidRPr="00AE7F73">
        <w:rPr>
          <w:rFonts w:ascii="Times New Roman" w:eastAsia="Times New Roman" w:hAnsi="Times New Roman" w:cs="Times New Roman"/>
          <w:color w:val="auto"/>
          <w:sz w:val="24"/>
          <w:szCs w:val="24"/>
        </w:rPr>
        <w:t xml:space="preserve"> </w:t>
      </w:r>
      <w:r w:rsidR="00257463">
        <w:rPr>
          <w:rFonts w:ascii="Times New Roman" w:eastAsia="Times New Roman" w:hAnsi="Times New Roman" w:cs="Times New Roman"/>
          <w:color w:val="auto"/>
          <w:sz w:val="24"/>
          <w:szCs w:val="24"/>
        </w:rPr>
        <w:t xml:space="preserve">the motor vehicle offenses and to </w:t>
      </w:r>
      <w:r w:rsidRPr="00AE7F73">
        <w:rPr>
          <w:rFonts w:ascii="Times New Roman" w:eastAsia="Times New Roman" w:hAnsi="Times New Roman" w:cs="Times New Roman"/>
          <w:color w:val="auto"/>
          <w:sz w:val="24"/>
          <w:szCs w:val="24"/>
        </w:rPr>
        <w:t>violating N.J.S. 2C:40–26(b) by driving during a second license suspension for DWI, with the Maryland conviction serving as the predicate offense under N.J.S. 2C:40–26(b).</w:t>
      </w:r>
      <w:r w:rsidRPr="00AE7F73">
        <w:rPr>
          <w:rFonts w:ascii="Times New Roman" w:eastAsia="Times New Roman" w:hAnsi="Times New Roman" w:cs="Times New Roman"/>
          <w:color w:val="auto"/>
          <w:sz w:val="24"/>
          <w:szCs w:val="24"/>
          <w:vertAlign w:val="superscript"/>
        </w:rPr>
        <w:footnoteReference w:id="15"/>
      </w:r>
    </w:p>
    <w:p w:rsidR="002D545A" w:rsidRPr="00AE7F73" w:rsidRDefault="002D545A" w:rsidP="00BA4C58">
      <w:pPr>
        <w:spacing w:after="0" w:line="240" w:lineRule="auto"/>
        <w:ind w:firstLine="720"/>
        <w:jc w:val="both"/>
        <w:rPr>
          <w:rFonts w:ascii="Times New Roman" w:eastAsia="Times New Roman" w:hAnsi="Times New Roman" w:cs="Times New Roman"/>
          <w:color w:val="auto"/>
          <w:sz w:val="24"/>
          <w:szCs w:val="24"/>
        </w:rPr>
      </w:pPr>
    </w:p>
    <w:p w:rsidR="002D545A" w:rsidRDefault="000B5A5D" w:rsidP="00135F0E">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During the appeal</w:t>
      </w:r>
      <w:r w:rsidR="00BF1907">
        <w:rPr>
          <w:rFonts w:ascii="Times New Roman" w:eastAsia="Times New Roman" w:hAnsi="Times New Roman" w:cs="Times New Roman"/>
          <w:color w:val="auto"/>
          <w:sz w:val="24"/>
          <w:szCs w:val="24"/>
        </w:rPr>
        <w:t xml:space="preserve"> that followed</w:t>
      </w:r>
      <w:r w:rsidRPr="00AE7F73">
        <w:rPr>
          <w:rFonts w:ascii="Times New Roman" w:eastAsia="Times New Roman" w:hAnsi="Times New Roman" w:cs="Times New Roman"/>
          <w:color w:val="auto"/>
          <w:sz w:val="24"/>
          <w:szCs w:val="24"/>
        </w:rPr>
        <w:t xml:space="preserve">, the </w:t>
      </w:r>
      <w:r w:rsidR="0058735B" w:rsidRPr="00AE7F73">
        <w:rPr>
          <w:rFonts w:ascii="Times New Roman" w:eastAsia="Times New Roman" w:hAnsi="Times New Roman" w:cs="Times New Roman"/>
          <w:color w:val="auto"/>
          <w:sz w:val="24"/>
          <w:szCs w:val="24"/>
        </w:rPr>
        <w:t xml:space="preserve">defendant </w:t>
      </w:r>
      <w:r w:rsidRPr="00AE7F73">
        <w:rPr>
          <w:rFonts w:ascii="Times New Roman" w:eastAsia="Times New Roman" w:hAnsi="Times New Roman" w:cs="Times New Roman"/>
          <w:color w:val="auto"/>
          <w:sz w:val="24"/>
          <w:szCs w:val="24"/>
        </w:rPr>
        <w:t xml:space="preserve">again </w:t>
      </w:r>
      <w:r w:rsidR="0058735B" w:rsidRPr="00AE7F73">
        <w:rPr>
          <w:rFonts w:ascii="Times New Roman" w:eastAsia="Times New Roman" w:hAnsi="Times New Roman" w:cs="Times New Roman"/>
          <w:color w:val="auto"/>
          <w:sz w:val="24"/>
          <w:szCs w:val="24"/>
        </w:rPr>
        <w:t>contended that, since N.J.S. 2C:40–26(b) specifically references violations of N.J.S. 3</w:t>
      </w:r>
      <w:r w:rsidR="00AF122A">
        <w:rPr>
          <w:rFonts w:ascii="Times New Roman" w:eastAsia="Times New Roman" w:hAnsi="Times New Roman" w:cs="Times New Roman"/>
          <w:color w:val="auto"/>
          <w:sz w:val="24"/>
          <w:szCs w:val="24"/>
        </w:rPr>
        <w:t>9:4-50</w:t>
      </w:r>
      <w:r w:rsidR="0058735B" w:rsidRPr="00AE7F73">
        <w:rPr>
          <w:rFonts w:ascii="Times New Roman" w:eastAsia="Times New Roman" w:hAnsi="Times New Roman" w:cs="Times New Roman"/>
          <w:color w:val="auto"/>
          <w:sz w:val="24"/>
          <w:szCs w:val="24"/>
        </w:rPr>
        <w:t xml:space="preserve">, </w:t>
      </w:r>
      <w:r w:rsidR="00733ED0">
        <w:rPr>
          <w:rFonts w:ascii="Times New Roman" w:eastAsia="Times New Roman" w:hAnsi="Times New Roman" w:cs="Times New Roman"/>
          <w:color w:val="auto"/>
          <w:sz w:val="24"/>
          <w:szCs w:val="24"/>
        </w:rPr>
        <w:t xml:space="preserve">his Maryland conviction </w:t>
      </w:r>
      <w:r w:rsidR="0058735B" w:rsidRPr="00AE7F73">
        <w:rPr>
          <w:rFonts w:ascii="Times New Roman" w:eastAsia="Times New Roman" w:hAnsi="Times New Roman" w:cs="Times New Roman"/>
          <w:color w:val="auto"/>
          <w:sz w:val="24"/>
          <w:szCs w:val="24"/>
        </w:rPr>
        <w:t xml:space="preserve">should </w:t>
      </w:r>
      <w:r w:rsidR="00483F24" w:rsidRPr="00AE7F73">
        <w:rPr>
          <w:rFonts w:ascii="Times New Roman" w:eastAsia="Times New Roman" w:hAnsi="Times New Roman" w:cs="Times New Roman"/>
          <w:color w:val="auto"/>
          <w:sz w:val="24"/>
          <w:szCs w:val="24"/>
        </w:rPr>
        <w:t xml:space="preserve">not </w:t>
      </w:r>
      <w:r w:rsidR="00762675" w:rsidRPr="00AE7F73">
        <w:rPr>
          <w:rFonts w:ascii="Times New Roman" w:eastAsia="Times New Roman" w:hAnsi="Times New Roman" w:cs="Times New Roman"/>
          <w:color w:val="auto"/>
          <w:sz w:val="24"/>
          <w:szCs w:val="24"/>
        </w:rPr>
        <w:t>have qualified</w:t>
      </w:r>
      <w:r w:rsidR="00483F24" w:rsidRPr="00AE7F73">
        <w:rPr>
          <w:rFonts w:ascii="Times New Roman" w:eastAsia="Times New Roman" w:hAnsi="Times New Roman" w:cs="Times New Roman"/>
          <w:color w:val="auto"/>
          <w:sz w:val="24"/>
          <w:szCs w:val="24"/>
        </w:rPr>
        <w:t xml:space="preserve"> as a predicate offense.</w:t>
      </w:r>
      <w:r w:rsidR="00D76B44">
        <w:rPr>
          <w:rStyle w:val="FootnoteReference"/>
          <w:rFonts w:ascii="Times New Roman" w:eastAsia="Times New Roman" w:hAnsi="Times New Roman" w:cs="Times New Roman"/>
          <w:color w:val="auto"/>
          <w:sz w:val="24"/>
          <w:szCs w:val="24"/>
        </w:rPr>
        <w:footnoteReference w:id="16"/>
      </w:r>
      <w:r w:rsidR="00483F24" w:rsidRPr="00AE7F73">
        <w:rPr>
          <w:rFonts w:ascii="Times New Roman" w:eastAsia="Times New Roman" w:hAnsi="Times New Roman" w:cs="Times New Roman"/>
          <w:color w:val="auto"/>
          <w:sz w:val="24"/>
          <w:szCs w:val="24"/>
        </w:rPr>
        <w:t xml:space="preserve"> </w:t>
      </w:r>
      <w:r w:rsidR="00B86028">
        <w:rPr>
          <w:rFonts w:ascii="Times New Roman" w:eastAsia="Times New Roman" w:hAnsi="Times New Roman" w:cs="Times New Roman"/>
          <w:color w:val="auto"/>
          <w:sz w:val="24"/>
          <w:szCs w:val="24"/>
        </w:rPr>
        <w:t>The</w:t>
      </w:r>
      <w:r w:rsidR="00B32932" w:rsidRPr="00AE7F73">
        <w:rPr>
          <w:rFonts w:ascii="Times New Roman" w:eastAsia="Times New Roman" w:hAnsi="Times New Roman" w:cs="Times New Roman"/>
          <w:color w:val="auto"/>
          <w:sz w:val="24"/>
          <w:szCs w:val="24"/>
        </w:rPr>
        <w:t xml:space="preserve"> Court </w:t>
      </w:r>
      <w:r w:rsidR="00BF5EC9">
        <w:rPr>
          <w:rFonts w:ascii="Times New Roman" w:eastAsia="Times New Roman" w:hAnsi="Times New Roman" w:cs="Times New Roman"/>
          <w:color w:val="auto"/>
          <w:sz w:val="24"/>
          <w:szCs w:val="24"/>
        </w:rPr>
        <w:t xml:space="preserve">first </w:t>
      </w:r>
      <w:r w:rsidR="00D76B44" w:rsidRPr="00D76B44">
        <w:rPr>
          <w:rFonts w:ascii="Times New Roman" w:eastAsia="Times New Roman" w:hAnsi="Times New Roman" w:cs="Times New Roman"/>
          <w:color w:val="auto"/>
          <w:sz w:val="24"/>
          <w:szCs w:val="24"/>
        </w:rPr>
        <w:t>looked to statuto</w:t>
      </w:r>
      <w:r w:rsidR="00347DCA">
        <w:rPr>
          <w:rFonts w:ascii="Times New Roman" w:eastAsia="Times New Roman" w:hAnsi="Times New Roman" w:cs="Times New Roman"/>
          <w:color w:val="auto"/>
          <w:sz w:val="24"/>
          <w:szCs w:val="24"/>
        </w:rPr>
        <w:t>ry interpretation to ascertain L</w:t>
      </w:r>
      <w:r w:rsidR="00D76B44" w:rsidRPr="00D76B44">
        <w:rPr>
          <w:rFonts w:ascii="Times New Roman" w:eastAsia="Times New Roman" w:hAnsi="Times New Roman" w:cs="Times New Roman"/>
          <w:color w:val="auto"/>
          <w:sz w:val="24"/>
          <w:szCs w:val="24"/>
        </w:rPr>
        <w:t>egislative intent</w:t>
      </w:r>
      <w:r w:rsidR="00A1037E">
        <w:rPr>
          <w:rFonts w:ascii="Times New Roman" w:eastAsia="Times New Roman" w:hAnsi="Times New Roman" w:cs="Times New Roman"/>
          <w:color w:val="auto"/>
          <w:sz w:val="24"/>
          <w:szCs w:val="24"/>
        </w:rPr>
        <w:t xml:space="preserve">, since </w:t>
      </w:r>
      <w:r w:rsidR="00945829">
        <w:rPr>
          <w:rFonts w:ascii="Times New Roman" w:eastAsia="Times New Roman" w:hAnsi="Times New Roman" w:cs="Times New Roman"/>
          <w:color w:val="auto"/>
          <w:sz w:val="24"/>
          <w:szCs w:val="24"/>
        </w:rPr>
        <w:t xml:space="preserve">the language of </w:t>
      </w:r>
      <w:r w:rsidR="00131B00" w:rsidRPr="00AE7F73">
        <w:rPr>
          <w:rFonts w:ascii="Times New Roman" w:eastAsia="Times New Roman" w:hAnsi="Times New Roman" w:cs="Times New Roman"/>
          <w:color w:val="auto"/>
          <w:sz w:val="24"/>
          <w:szCs w:val="24"/>
        </w:rPr>
        <w:t>N.J.S. 2C:40–26(b)</w:t>
      </w:r>
      <w:r w:rsidR="00131B00">
        <w:rPr>
          <w:rFonts w:ascii="Times New Roman" w:eastAsia="Times New Roman" w:hAnsi="Times New Roman" w:cs="Times New Roman"/>
          <w:color w:val="auto"/>
          <w:sz w:val="24"/>
          <w:szCs w:val="24"/>
        </w:rPr>
        <w:t xml:space="preserve"> </w:t>
      </w:r>
      <w:r w:rsidR="00A1037E">
        <w:rPr>
          <w:rFonts w:ascii="Times New Roman" w:eastAsia="Times New Roman" w:hAnsi="Times New Roman" w:cs="Times New Roman"/>
          <w:color w:val="auto"/>
          <w:sz w:val="24"/>
          <w:szCs w:val="24"/>
        </w:rPr>
        <w:t xml:space="preserve">does not </w:t>
      </w:r>
      <w:r w:rsidR="00415F50">
        <w:rPr>
          <w:rFonts w:ascii="Times New Roman" w:eastAsia="Times New Roman" w:hAnsi="Times New Roman" w:cs="Times New Roman"/>
          <w:color w:val="auto"/>
          <w:sz w:val="24"/>
          <w:szCs w:val="24"/>
        </w:rPr>
        <w:t xml:space="preserve">specifically </w:t>
      </w:r>
      <w:r w:rsidR="00325412">
        <w:rPr>
          <w:rFonts w:ascii="Times New Roman" w:eastAsia="Times New Roman" w:hAnsi="Times New Roman" w:cs="Times New Roman"/>
          <w:color w:val="auto"/>
          <w:sz w:val="24"/>
          <w:szCs w:val="24"/>
        </w:rPr>
        <w:t>reference</w:t>
      </w:r>
      <w:r w:rsidR="00A1037E">
        <w:rPr>
          <w:rFonts w:ascii="Times New Roman" w:eastAsia="Times New Roman" w:hAnsi="Times New Roman" w:cs="Times New Roman"/>
          <w:color w:val="auto"/>
          <w:sz w:val="24"/>
          <w:szCs w:val="24"/>
        </w:rPr>
        <w:t xml:space="preserve"> out-of-state DWI convictions</w:t>
      </w:r>
      <w:r w:rsidR="00255668">
        <w:rPr>
          <w:rFonts w:ascii="Times New Roman" w:eastAsia="Times New Roman" w:hAnsi="Times New Roman" w:cs="Times New Roman"/>
          <w:color w:val="auto"/>
          <w:sz w:val="24"/>
          <w:szCs w:val="24"/>
        </w:rPr>
        <w:t>.</w:t>
      </w:r>
      <w:r w:rsidR="00C2096A">
        <w:rPr>
          <w:rStyle w:val="FootnoteReference"/>
          <w:rFonts w:ascii="Times New Roman" w:eastAsia="Times New Roman" w:hAnsi="Times New Roman" w:cs="Times New Roman"/>
          <w:color w:val="auto"/>
          <w:sz w:val="24"/>
          <w:szCs w:val="24"/>
        </w:rPr>
        <w:footnoteReference w:id="17"/>
      </w:r>
      <w:r w:rsidR="00B32932" w:rsidRPr="00AE7F73">
        <w:rPr>
          <w:rFonts w:ascii="Times New Roman" w:eastAsia="Times New Roman" w:hAnsi="Times New Roman" w:cs="Times New Roman"/>
          <w:color w:val="auto"/>
          <w:sz w:val="24"/>
          <w:szCs w:val="24"/>
        </w:rPr>
        <w:t xml:space="preserve"> </w:t>
      </w:r>
      <w:r w:rsidR="006D2A94" w:rsidRPr="006D2A94">
        <w:rPr>
          <w:rFonts w:ascii="Times New Roman" w:eastAsia="Times New Roman" w:hAnsi="Times New Roman" w:cs="Times New Roman"/>
          <w:color w:val="auto"/>
          <w:sz w:val="24"/>
          <w:szCs w:val="24"/>
        </w:rPr>
        <w:t>The Court noted that the legislation was “prompted, at least in part, by reports of fatal or serious accidents that had been caused by recidivist offenders with multiple prior DWI violations, who nevertheless were driving with a suspended license.”</w:t>
      </w:r>
      <w:r w:rsidR="00135F0E">
        <w:rPr>
          <w:rStyle w:val="FootnoteReference"/>
          <w:rFonts w:ascii="Times New Roman" w:eastAsia="Times New Roman" w:hAnsi="Times New Roman" w:cs="Times New Roman"/>
          <w:color w:val="auto"/>
          <w:sz w:val="24"/>
          <w:szCs w:val="24"/>
        </w:rPr>
        <w:footnoteReference w:id="18"/>
      </w:r>
      <w:bookmarkStart w:id="19" w:name="_7t05ttr1ecb5" w:colFirst="0" w:colLast="0"/>
      <w:bookmarkStart w:id="20" w:name="_ntsbx2d4tsgg" w:colFirst="0" w:colLast="0"/>
      <w:bookmarkEnd w:id="19"/>
      <w:bookmarkEnd w:id="20"/>
      <w:r w:rsidR="00135F0E">
        <w:rPr>
          <w:rFonts w:ascii="Times New Roman" w:eastAsia="Times New Roman" w:hAnsi="Times New Roman" w:cs="Times New Roman"/>
          <w:color w:val="auto"/>
          <w:sz w:val="24"/>
          <w:szCs w:val="24"/>
        </w:rPr>
        <w:t xml:space="preserve"> The Court also discussed the reciprocation provisions of the DLC as bolstering the conclusion that an out-of-state DWI qualifies as a predicate offense for N.J.S. 2C:40-26(b).</w:t>
      </w:r>
      <w:r w:rsidR="00135F0E">
        <w:rPr>
          <w:rStyle w:val="FootnoteReference"/>
          <w:rFonts w:ascii="Times New Roman" w:eastAsia="Times New Roman" w:hAnsi="Times New Roman" w:cs="Times New Roman"/>
          <w:color w:val="auto"/>
          <w:sz w:val="24"/>
          <w:szCs w:val="24"/>
        </w:rPr>
        <w:footnoteReference w:id="19"/>
      </w:r>
      <w:r w:rsidR="00135F0E">
        <w:rPr>
          <w:rFonts w:ascii="Times New Roman" w:eastAsia="Times New Roman" w:hAnsi="Times New Roman" w:cs="Times New Roman"/>
          <w:color w:val="auto"/>
          <w:sz w:val="24"/>
          <w:szCs w:val="24"/>
        </w:rPr>
        <w:t xml:space="preserve"> </w:t>
      </w:r>
      <w:r w:rsidR="00255668" w:rsidRPr="00255668">
        <w:rPr>
          <w:rFonts w:ascii="Times New Roman" w:eastAsia="Times New Roman" w:hAnsi="Times New Roman" w:cs="Times New Roman"/>
          <w:color w:val="auto"/>
          <w:sz w:val="24"/>
          <w:szCs w:val="24"/>
        </w:rPr>
        <w:t xml:space="preserve">In addition, the Court examined several cases which </w:t>
      </w:r>
      <w:r w:rsidR="00B86028">
        <w:rPr>
          <w:rFonts w:ascii="Times New Roman" w:eastAsia="Times New Roman" w:hAnsi="Times New Roman" w:cs="Times New Roman"/>
          <w:color w:val="auto"/>
          <w:sz w:val="24"/>
          <w:szCs w:val="24"/>
        </w:rPr>
        <w:t>held</w:t>
      </w:r>
      <w:r w:rsidR="00255668" w:rsidRPr="00255668">
        <w:rPr>
          <w:rFonts w:ascii="Times New Roman" w:eastAsia="Times New Roman" w:hAnsi="Times New Roman" w:cs="Times New Roman"/>
          <w:color w:val="auto"/>
          <w:sz w:val="24"/>
          <w:szCs w:val="24"/>
        </w:rPr>
        <w:t xml:space="preserve"> that the Legislature intended an out-of-state conviction for an offense equivalent to a DWI to be considered as a prior offense for enhanced sentencing purposes on a subsequent DWI conviction under N.J.S. 39:4–50(a)(3) and enhanced penalties under N.J.S. 39:3-40 due to a DWI conviction in another state</w:t>
      </w:r>
      <w:r w:rsidR="00DB7D34">
        <w:rPr>
          <w:rFonts w:ascii="Times New Roman" w:eastAsia="Times New Roman" w:hAnsi="Times New Roman" w:cs="Times New Roman"/>
          <w:color w:val="auto"/>
          <w:sz w:val="24"/>
          <w:szCs w:val="24"/>
        </w:rPr>
        <w:t xml:space="preserve">, ultimately concluding </w:t>
      </w:r>
      <w:r w:rsidR="00DB7D34" w:rsidRPr="00B86028">
        <w:rPr>
          <w:rFonts w:ascii="Times New Roman" w:eastAsia="Times New Roman" w:hAnsi="Times New Roman" w:cs="Times New Roman"/>
          <w:color w:val="auto"/>
          <w:sz w:val="24"/>
          <w:szCs w:val="24"/>
        </w:rPr>
        <w:t>that defendant’s Maryland conviction served as a predicate offense under N.J.S. 2C:40–26(b)</w:t>
      </w:r>
      <w:r w:rsidR="00255668" w:rsidRPr="00255668">
        <w:rPr>
          <w:rFonts w:ascii="Times New Roman" w:eastAsia="Times New Roman" w:hAnsi="Times New Roman" w:cs="Times New Roman"/>
          <w:color w:val="auto"/>
          <w:sz w:val="24"/>
          <w:szCs w:val="24"/>
        </w:rPr>
        <w:t>.</w:t>
      </w:r>
      <w:r w:rsidR="00255668">
        <w:rPr>
          <w:rStyle w:val="FootnoteReference"/>
          <w:rFonts w:ascii="Times New Roman" w:eastAsia="Times New Roman" w:hAnsi="Times New Roman" w:cs="Times New Roman"/>
          <w:color w:val="auto"/>
          <w:sz w:val="24"/>
          <w:szCs w:val="24"/>
        </w:rPr>
        <w:footnoteReference w:id="20"/>
      </w:r>
      <w:r w:rsidR="00135F0E">
        <w:rPr>
          <w:rFonts w:ascii="Times New Roman" w:eastAsia="Times New Roman" w:hAnsi="Times New Roman" w:cs="Times New Roman"/>
          <w:color w:val="auto"/>
          <w:sz w:val="24"/>
          <w:szCs w:val="24"/>
        </w:rPr>
        <w:t xml:space="preserve">  </w:t>
      </w:r>
    </w:p>
    <w:p w:rsidR="00135F0E" w:rsidRPr="00AE7F73" w:rsidRDefault="00135F0E" w:rsidP="00135F0E">
      <w:pPr>
        <w:spacing w:after="0" w:line="240" w:lineRule="auto"/>
        <w:ind w:firstLine="720"/>
        <w:jc w:val="both"/>
        <w:rPr>
          <w:rFonts w:ascii="Times New Roman" w:eastAsia="Times New Roman" w:hAnsi="Times New Roman" w:cs="Times New Roman"/>
          <w:color w:val="auto"/>
          <w:sz w:val="24"/>
          <w:szCs w:val="24"/>
        </w:rPr>
      </w:pPr>
    </w:p>
    <w:p w:rsidR="002D545A" w:rsidRDefault="00733ED0" w:rsidP="00733ED0">
      <w:pPr>
        <w:spacing w:after="0" w:line="240" w:lineRule="auto"/>
        <w:jc w:val="center"/>
        <w:rPr>
          <w:rFonts w:ascii="Times New Roman" w:eastAsia="Times New Roman" w:hAnsi="Times New Roman" w:cs="Times New Roman"/>
          <w:b/>
          <w:i/>
          <w:color w:val="auto"/>
          <w:sz w:val="24"/>
          <w:szCs w:val="24"/>
        </w:rPr>
      </w:pPr>
      <w:bookmarkStart w:id="21" w:name="_dtru8gi9vef5" w:colFirst="0" w:colLast="0"/>
      <w:bookmarkEnd w:id="21"/>
      <w:r>
        <w:rPr>
          <w:rFonts w:ascii="Times New Roman" w:eastAsia="Times New Roman" w:hAnsi="Times New Roman" w:cs="Times New Roman"/>
          <w:b/>
          <w:color w:val="auto"/>
          <w:sz w:val="24"/>
          <w:szCs w:val="24"/>
        </w:rPr>
        <w:t xml:space="preserve">Cases </w:t>
      </w:r>
      <w:r w:rsidR="00A848A5">
        <w:rPr>
          <w:rFonts w:ascii="Times New Roman" w:eastAsia="Times New Roman" w:hAnsi="Times New Roman" w:cs="Times New Roman"/>
          <w:b/>
          <w:color w:val="auto"/>
          <w:sz w:val="24"/>
          <w:szCs w:val="24"/>
        </w:rPr>
        <w:t>Concurring with</w:t>
      </w:r>
      <w:r>
        <w:rPr>
          <w:rFonts w:ascii="Times New Roman" w:eastAsia="Times New Roman" w:hAnsi="Times New Roman" w:cs="Times New Roman"/>
          <w:b/>
          <w:color w:val="auto"/>
          <w:sz w:val="24"/>
          <w:szCs w:val="24"/>
        </w:rPr>
        <w:t xml:space="preserve"> </w:t>
      </w:r>
      <w:r w:rsidR="001B3F76" w:rsidRPr="00733ED0">
        <w:rPr>
          <w:rFonts w:ascii="Times New Roman" w:eastAsia="Times New Roman" w:hAnsi="Times New Roman" w:cs="Times New Roman"/>
          <w:b/>
          <w:i/>
          <w:color w:val="auto"/>
          <w:sz w:val="24"/>
          <w:szCs w:val="24"/>
        </w:rPr>
        <w:t>Luzhak</w:t>
      </w:r>
    </w:p>
    <w:p w:rsidR="006372AC" w:rsidRPr="006372AC" w:rsidRDefault="006372AC" w:rsidP="006372AC">
      <w:pPr>
        <w:spacing w:after="0" w:line="240" w:lineRule="auto"/>
        <w:rPr>
          <w:rFonts w:ascii="Times New Roman" w:eastAsia="Times New Roman" w:hAnsi="Times New Roman" w:cs="Times New Roman"/>
          <w:b/>
          <w:color w:val="auto"/>
          <w:sz w:val="24"/>
          <w:szCs w:val="24"/>
        </w:rPr>
      </w:pPr>
    </w:p>
    <w:p w:rsidR="001D4470" w:rsidRPr="00AE7F73" w:rsidRDefault="00590B33" w:rsidP="00BA4C58">
      <w:pPr>
        <w:spacing w:after="0" w:line="24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Six subsequent</w:t>
      </w:r>
      <w:r w:rsidR="006372AC">
        <w:rPr>
          <w:rFonts w:ascii="Times New Roman" w:eastAsia="Times New Roman" w:hAnsi="Times New Roman" w:cs="Times New Roman"/>
          <w:color w:val="auto"/>
          <w:sz w:val="24"/>
          <w:szCs w:val="24"/>
        </w:rPr>
        <w:t xml:space="preserve"> </w:t>
      </w:r>
      <w:r w:rsidR="00447693">
        <w:rPr>
          <w:rFonts w:ascii="Times New Roman" w:eastAsia="Times New Roman" w:hAnsi="Times New Roman" w:cs="Times New Roman"/>
          <w:color w:val="auto"/>
          <w:sz w:val="24"/>
          <w:szCs w:val="24"/>
        </w:rPr>
        <w:t xml:space="preserve">Appellate Division </w:t>
      </w:r>
      <w:r w:rsidR="006372AC">
        <w:rPr>
          <w:rFonts w:ascii="Times New Roman" w:eastAsia="Times New Roman" w:hAnsi="Times New Roman" w:cs="Times New Roman"/>
          <w:color w:val="auto"/>
          <w:sz w:val="24"/>
          <w:szCs w:val="24"/>
        </w:rPr>
        <w:t xml:space="preserve">cases </w:t>
      </w:r>
      <w:r>
        <w:rPr>
          <w:rFonts w:ascii="Times New Roman" w:eastAsia="Times New Roman" w:hAnsi="Times New Roman" w:cs="Times New Roman"/>
          <w:color w:val="auto"/>
          <w:sz w:val="24"/>
          <w:szCs w:val="24"/>
        </w:rPr>
        <w:t xml:space="preserve">cite the </w:t>
      </w:r>
      <w:r w:rsidR="006372AC" w:rsidRPr="00590B33">
        <w:rPr>
          <w:rFonts w:ascii="Times New Roman" w:eastAsia="Times New Roman" w:hAnsi="Times New Roman" w:cs="Times New Roman"/>
          <w:i/>
          <w:color w:val="auto"/>
          <w:sz w:val="24"/>
          <w:szCs w:val="24"/>
        </w:rPr>
        <w:t>Luzhak</w:t>
      </w:r>
      <w:r w:rsidR="006372A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decision</w:t>
      </w:r>
      <w:r w:rsidR="00D06975">
        <w:rPr>
          <w:rFonts w:ascii="Times New Roman" w:eastAsia="Times New Roman" w:hAnsi="Times New Roman" w:cs="Times New Roman"/>
          <w:color w:val="auto"/>
          <w:sz w:val="24"/>
          <w:szCs w:val="24"/>
        </w:rPr>
        <w:t xml:space="preserve">, however </w:t>
      </w:r>
      <w:r w:rsidR="008B30B0">
        <w:rPr>
          <w:rFonts w:ascii="Times New Roman" w:eastAsia="Times New Roman" w:hAnsi="Times New Roman" w:cs="Times New Roman"/>
          <w:color w:val="auto"/>
          <w:sz w:val="24"/>
          <w:szCs w:val="24"/>
        </w:rPr>
        <w:t>four of the cases</w:t>
      </w:r>
      <w:r w:rsidR="00D06975">
        <w:rPr>
          <w:rFonts w:ascii="Times New Roman" w:eastAsia="Times New Roman" w:hAnsi="Times New Roman" w:cs="Times New Roman"/>
          <w:color w:val="auto"/>
          <w:sz w:val="24"/>
          <w:szCs w:val="24"/>
        </w:rPr>
        <w:t xml:space="preserve"> address </w:t>
      </w:r>
      <w:r w:rsidR="008B30B0">
        <w:rPr>
          <w:rFonts w:ascii="Times New Roman" w:eastAsia="Times New Roman" w:hAnsi="Times New Roman" w:cs="Times New Roman"/>
          <w:color w:val="auto"/>
          <w:sz w:val="24"/>
          <w:szCs w:val="24"/>
        </w:rPr>
        <w:t>issues un</w:t>
      </w:r>
      <w:r w:rsidR="00D06975">
        <w:rPr>
          <w:rFonts w:ascii="Times New Roman" w:eastAsia="Times New Roman" w:hAnsi="Times New Roman" w:cs="Times New Roman"/>
          <w:color w:val="auto"/>
          <w:sz w:val="24"/>
          <w:szCs w:val="24"/>
        </w:rPr>
        <w:t>related to this project</w:t>
      </w:r>
      <w:r>
        <w:rPr>
          <w:rFonts w:ascii="Times New Roman" w:eastAsia="Times New Roman" w:hAnsi="Times New Roman" w:cs="Times New Roman"/>
          <w:color w:val="auto"/>
          <w:sz w:val="24"/>
          <w:szCs w:val="24"/>
        </w:rPr>
        <w:t xml:space="preserve">. </w:t>
      </w:r>
      <w:bookmarkStart w:id="22" w:name="_sod1813upgo7" w:colFirst="0" w:colLast="0"/>
      <w:bookmarkEnd w:id="22"/>
      <w:r w:rsidR="0021648E" w:rsidRPr="0021648E">
        <w:rPr>
          <w:rFonts w:ascii="Times New Roman" w:eastAsia="Times New Roman" w:hAnsi="Times New Roman" w:cs="Times New Roman"/>
          <w:color w:val="auto"/>
          <w:sz w:val="24"/>
          <w:szCs w:val="24"/>
        </w:rPr>
        <w:t>T</w:t>
      </w:r>
      <w:r w:rsidR="00D06975">
        <w:rPr>
          <w:rFonts w:ascii="Times New Roman" w:eastAsia="Times New Roman" w:hAnsi="Times New Roman" w:cs="Times New Roman"/>
          <w:color w:val="auto"/>
          <w:sz w:val="24"/>
          <w:szCs w:val="24"/>
        </w:rPr>
        <w:t>he t</w:t>
      </w:r>
      <w:r w:rsidR="0021648E" w:rsidRPr="0021648E">
        <w:rPr>
          <w:rFonts w:ascii="Times New Roman" w:eastAsia="Times New Roman" w:hAnsi="Times New Roman" w:cs="Times New Roman"/>
          <w:color w:val="auto"/>
          <w:sz w:val="24"/>
          <w:szCs w:val="24"/>
        </w:rPr>
        <w:t xml:space="preserve">wo cases </w:t>
      </w:r>
      <w:r w:rsidR="00D06975">
        <w:rPr>
          <w:rFonts w:ascii="Times New Roman" w:eastAsia="Times New Roman" w:hAnsi="Times New Roman" w:cs="Times New Roman"/>
          <w:color w:val="auto"/>
          <w:sz w:val="24"/>
          <w:szCs w:val="24"/>
        </w:rPr>
        <w:t xml:space="preserve">which </w:t>
      </w:r>
      <w:r w:rsidR="0021648E" w:rsidRPr="0021648E">
        <w:rPr>
          <w:rFonts w:ascii="Times New Roman" w:eastAsia="Times New Roman" w:hAnsi="Times New Roman" w:cs="Times New Roman"/>
          <w:color w:val="auto"/>
          <w:sz w:val="24"/>
          <w:szCs w:val="24"/>
        </w:rPr>
        <w:t>deal with the issue of out-of-</w:t>
      </w:r>
      <w:r w:rsidR="0021648E" w:rsidRPr="0021648E">
        <w:rPr>
          <w:rFonts w:ascii="Times New Roman" w:eastAsia="Times New Roman" w:hAnsi="Times New Roman" w:cs="Times New Roman"/>
          <w:color w:val="auto"/>
          <w:sz w:val="24"/>
          <w:szCs w:val="24"/>
        </w:rPr>
        <w:lastRenderedPageBreak/>
        <w:t>state DWI or substantially similar convictions qualifying as predicate offenses under N.J.S. 2C:40-26(b)</w:t>
      </w:r>
      <w:r w:rsidR="00D06975">
        <w:rPr>
          <w:rFonts w:ascii="Times New Roman" w:eastAsia="Times New Roman" w:hAnsi="Times New Roman" w:cs="Times New Roman"/>
          <w:color w:val="auto"/>
          <w:sz w:val="24"/>
          <w:szCs w:val="24"/>
        </w:rPr>
        <w:t xml:space="preserve"> both </w:t>
      </w:r>
      <w:r w:rsidR="00F31521">
        <w:rPr>
          <w:rFonts w:ascii="Times New Roman" w:eastAsia="Times New Roman" w:hAnsi="Times New Roman" w:cs="Times New Roman"/>
          <w:color w:val="auto"/>
          <w:sz w:val="24"/>
          <w:szCs w:val="24"/>
        </w:rPr>
        <w:t>follow</w:t>
      </w:r>
      <w:r w:rsidR="00D06975">
        <w:rPr>
          <w:rFonts w:ascii="Times New Roman" w:eastAsia="Times New Roman" w:hAnsi="Times New Roman" w:cs="Times New Roman"/>
          <w:color w:val="auto"/>
          <w:sz w:val="24"/>
          <w:szCs w:val="24"/>
        </w:rPr>
        <w:t xml:space="preserve"> the </w:t>
      </w:r>
      <w:r w:rsidR="00941053">
        <w:rPr>
          <w:rFonts w:ascii="Times New Roman" w:eastAsia="Times New Roman" w:hAnsi="Times New Roman" w:cs="Times New Roman"/>
          <w:color w:val="auto"/>
          <w:sz w:val="24"/>
          <w:szCs w:val="24"/>
        </w:rPr>
        <w:t>decision</w:t>
      </w:r>
      <w:r w:rsidR="00D06975">
        <w:rPr>
          <w:rFonts w:ascii="Times New Roman" w:eastAsia="Times New Roman" w:hAnsi="Times New Roman" w:cs="Times New Roman"/>
          <w:color w:val="auto"/>
          <w:sz w:val="24"/>
          <w:szCs w:val="24"/>
        </w:rPr>
        <w:t xml:space="preserve"> in </w:t>
      </w:r>
      <w:r w:rsidR="00D06975" w:rsidRPr="001D4470">
        <w:rPr>
          <w:rFonts w:ascii="Times New Roman" w:eastAsia="Times New Roman" w:hAnsi="Times New Roman" w:cs="Times New Roman"/>
          <w:i/>
          <w:color w:val="auto"/>
          <w:sz w:val="24"/>
          <w:szCs w:val="24"/>
        </w:rPr>
        <w:t>Luzhak</w:t>
      </w:r>
      <w:r w:rsidR="0021648E" w:rsidRPr="0021648E">
        <w:rPr>
          <w:rFonts w:ascii="Times New Roman" w:eastAsia="Times New Roman" w:hAnsi="Times New Roman" w:cs="Times New Roman"/>
          <w:color w:val="auto"/>
          <w:sz w:val="24"/>
          <w:szCs w:val="24"/>
        </w:rPr>
        <w:t>.</w:t>
      </w:r>
      <w:r w:rsidR="00D06975">
        <w:rPr>
          <w:rStyle w:val="FootnoteReference"/>
          <w:rFonts w:ascii="Times New Roman" w:eastAsia="Times New Roman" w:hAnsi="Times New Roman" w:cs="Times New Roman"/>
          <w:color w:val="auto"/>
          <w:sz w:val="24"/>
          <w:szCs w:val="24"/>
        </w:rPr>
        <w:footnoteReference w:id="21"/>
      </w:r>
      <w:r w:rsidR="0021648E">
        <w:rPr>
          <w:rFonts w:ascii="Times New Roman" w:eastAsia="Times New Roman" w:hAnsi="Times New Roman" w:cs="Times New Roman"/>
          <w:color w:val="auto"/>
          <w:sz w:val="24"/>
          <w:szCs w:val="24"/>
        </w:rPr>
        <w:t xml:space="preserve"> </w:t>
      </w:r>
      <w:r w:rsidR="00734F5D">
        <w:rPr>
          <w:rFonts w:ascii="Times New Roman" w:eastAsia="Times New Roman" w:hAnsi="Times New Roman" w:cs="Times New Roman"/>
          <w:color w:val="auto"/>
          <w:sz w:val="24"/>
          <w:szCs w:val="24"/>
        </w:rPr>
        <w:t>Both of the cases</w:t>
      </w:r>
      <w:r w:rsidR="00E24A8F">
        <w:rPr>
          <w:rFonts w:ascii="Times New Roman" w:eastAsia="Times New Roman" w:hAnsi="Times New Roman" w:cs="Times New Roman"/>
          <w:color w:val="auto"/>
          <w:sz w:val="24"/>
          <w:szCs w:val="24"/>
        </w:rPr>
        <w:t xml:space="preserve">, however, </w:t>
      </w:r>
      <w:r w:rsidR="00734F5D">
        <w:rPr>
          <w:rFonts w:ascii="Times New Roman" w:eastAsia="Times New Roman" w:hAnsi="Times New Roman" w:cs="Times New Roman"/>
          <w:color w:val="auto"/>
          <w:sz w:val="24"/>
          <w:szCs w:val="24"/>
        </w:rPr>
        <w:t xml:space="preserve">are unreported in A.3d. </w:t>
      </w:r>
    </w:p>
    <w:p w:rsidR="00734F5D" w:rsidRDefault="00734F5D" w:rsidP="00BA4C58">
      <w:pPr>
        <w:spacing w:after="0" w:line="240" w:lineRule="auto"/>
        <w:jc w:val="center"/>
        <w:rPr>
          <w:rFonts w:ascii="Times New Roman" w:eastAsia="Times New Roman" w:hAnsi="Times New Roman" w:cs="Times New Roman"/>
          <w:b/>
          <w:color w:val="auto"/>
          <w:sz w:val="24"/>
          <w:szCs w:val="24"/>
        </w:rPr>
      </w:pPr>
      <w:bookmarkStart w:id="23" w:name="_gjdgxs" w:colFirst="0" w:colLast="0"/>
      <w:bookmarkEnd w:id="23"/>
    </w:p>
    <w:p w:rsidR="00107296" w:rsidRPr="00107296" w:rsidRDefault="00107296" w:rsidP="00107296">
      <w:pPr>
        <w:spacing w:after="0" w:line="240" w:lineRule="auto"/>
        <w:rPr>
          <w:rFonts w:ascii="Times New Roman" w:eastAsia="Times New Roman" w:hAnsi="Times New Roman" w:cs="Times New Roman"/>
          <w:b/>
          <w:i/>
          <w:color w:val="auto"/>
          <w:sz w:val="24"/>
          <w:szCs w:val="24"/>
        </w:rPr>
      </w:pPr>
      <w:r w:rsidRPr="00107296">
        <w:rPr>
          <w:rFonts w:ascii="Times New Roman" w:eastAsia="Times New Roman" w:hAnsi="Times New Roman" w:cs="Times New Roman"/>
          <w:b/>
          <w:i/>
          <w:color w:val="auto"/>
          <w:sz w:val="24"/>
          <w:szCs w:val="24"/>
        </w:rPr>
        <w:t>III. Current and Ongoing Legislative Action in This Area</w:t>
      </w:r>
    </w:p>
    <w:p w:rsidR="00107296" w:rsidRPr="00AE7F73" w:rsidRDefault="00107296" w:rsidP="00107296">
      <w:pPr>
        <w:spacing w:after="0" w:line="240" w:lineRule="auto"/>
        <w:jc w:val="both"/>
        <w:rPr>
          <w:rFonts w:ascii="Times New Roman" w:eastAsia="Times New Roman" w:hAnsi="Times New Roman" w:cs="Times New Roman"/>
          <w:color w:val="auto"/>
          <w:sz w:val="24"/>
          <w:szCs w:val="24"/>
        </w:rPr>
      </w:pPr>
      <w:bookmarkStart w:id="24" w:name="_6l52pj4jqv9l" w:colFirst="0" w:colLast="0"/>
      <w:bookmarkEnd w:id="24"/>
    </w:p>
    <w:p w:rsidR="00107296" w:rsidRPr="00AE7F73" w:rsidRDefault="00107296" w:rsidP="00107296">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In keeping with New Jersey’s strong policy against DWI offenses, including out-of-state offenses, Assembly Bill 2491 has been introduced in the 2018-2019 Legislative session. A2491</w:t>
      </w:r>
      <w:r>
        <w:rPr>
          <w:rFonts w:ascii="Times New Roman" w:eastAsia="Times New Roman" w:hAnsi="Times New Roman" w:cs="Times New Roman"/>
          <w:color w:val="auto"/>
          <w:sz w:val="24"/>
          <w:szCs w:val="24"/>
        </w:rPr>
        <w:t>, if enacted,</w:t>
      </w:r>
      <w:r w:rsidRPr="00AE7F73">
        <w:rPr>
          <w:rFonts w:ascii="Times New Roman" w:eastAsia="Times New Roman" w:hAnsi="Times New Roman" w:cs="Times New Roman"/>
          <w:color w:val="auto"/>
          <w:sz w:val="24"/>
          <w:szCs w:val="24"/>
        </w:rPr>
        <w:t xml:space="preserve"> would clarify that a conviction for DWI in another state qualifies as a predicate conviction that can support an in-state conviction under N.J.S. 2C:40-26 for driving during a second license suspension for DWI.</w:t>
      </w:r>
      <w:r w:rsidRPr="00AE7F73">
        <w:rPr>
          <w:rFonts w:ascii="Times New Roman" w:eastAsia="Times New Roman" w:hAnsi="Times New Roman" w:cs="Times New Roman"/>
          <w:color w:val="auto"/>
          <w:sz w:val="24"/>
          <w:szCs w:val="24"/>
          <w:vertAlign w:val="superscript"/>
        </w:rPr>
        <w:footnoteReference w:id="22"/>
      </w:r>
      <w:r w:rsidRPr="00AE7F73">
        <w:rPr>
          <w:rFonts w:ascii="Times New Roman" w:eastAsia="Times New Roman" w:hAnsi="Times New Roman" w:cs="Times New Roman"/>
          <w:color w:val="auto"/>
          <w:sz w:val="24"/>
          <w:szCs w:val="24"/>
        </w:rPr>
        <w:t xml:space="preserve"> The bill reads in relevant part:</w:t>
      </w:r>
    </w:p>
    <w:p w:rsidR="00107296" w:rsidRPr="00AE7F73" w:rsidRDefault="00107296" w:rsidP="00107296">
      <w:pPr>
        <w:spacing w:after="0" w:line="240" w:lineRule="auto"/>
        <w:ind w:firstLine="720"/>
        <w:jc w:val="both"/>
        <w:rPr>
          <w:rFonts w:ascii="Times New Roman" w:eastAsia="Times New Roman" w:hAnsi="Times New Roman" w:cs="Times New Roman"/>
          <w:color w:val="auto"/>
          <w:sz w:val="24"/>
          <w:szCs w:val="24"/>
        </w:rPr>
      </w:pPr>
    </w:p>
    <w:p w:rsidR="00107296" w:rsidRPr="00887D7F" w:rsidRDefault="00107296" w:rsidP="00107296">
      <w:pPr>
        <w:pStyle w:val="ListParagraph"/>
        <w:numPr>
          <w:ilvl w:val="0"/>
          <w:numId w:val="1"/>
        </w:numPr>
        <w:spacing w:after="0" w:line="240" w:lineRule="auto"/>
        <w:ind w:right="720"/>
        <w:jc w:val="both"/>
        <w:rPr>
          <w:rFonts w:ascii="Times New Roman" w:eastAsia="Times New Roman" w:hAnsi="Times New Roman" w:cs="Times New Roman"/>
          <w:color w:val="auto"/>
          <w:sz w:val="24"/>
          <w:szCs w:val="24"/>
        </w:rPr>
      </w:pPr>
      <w:r w:rsidRPr="00887D7F">
        <w:rPr>
          <w:rFonts w:ascii="Times New Roman" w:eastAsia="Times New Roman" w:hAnsi="Times New Roman" w:cs="Times New Roman"/>
          <w:color w:val="auto"/>
          <w:sz w:val="24"/>
          <w:szCs w:val="24"/>
        </w:rPr>
        <w:t xml:space="preserve">Section 1 of P.L.2009, c.333 (C.2C:40-26) is amended to read as follows: </w:t>
      </w:r>
    </w:p>
    <w:p w:rsidR="00107296" w:rsidRPr="00887D7F" w:rsidRDefault="00107296" w:rsidP="00107296">
      <w:pPr>
        <w:spacing w:after="0" w:line="240" w:lineRule="auto"/>
        <w:ind w:left="720" w:right="720"/>
        <w:jc w:val="both"/>
        <w:rPr>
          <w:rFonts w:ascii="Times New Roman" w:eastAsia="Times New Roman" w:hAnsi="Times New Roman" w:cs="Times New Roman"/>
          <w:color w:val="auto"/>
          <w:sz w:val="24"/>
          <w:szCs w:val="24"/>
        </w:rPr>
      </w:pPr>
      <w:r w:rsidRPr="00887D7F">
        <w:rPr>
          <w:rFonts w:ascii="Times New Roman" w:eastAsia="Times New Roman" w:hAnsi="Times New Roman" w:cs="Times New Roman"/>
          <w:color w:val="auto"/>
          <w:sz w:val="24"/>
          <w:szCs w:val="24"/>
        </w:rPr>
        <w:t>…</w:t>
      </w:r>
    </w:p>
    <w:p w:rsidR="00107296" w:rsidRPr="00AE7F73" w:rsidRDefault="00107296" w:rsidP="00107296">
      <w:pPr>
        <w:spacing w:after="0" w:line="240" w:lineRule="auto"/>
        <w:ind w:left="720" w:right="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 xml:space="preserve">b.    It shall be a crime of the fourth degree to operate a motor vehicle during the period of license suspension in violation of R.S.39:3-40, if the actor's license was suspended or revoked for a second or subsequent violation of R.S.39:4-50 [or], section 2 of P.L.1981, c.512 (C.39:4-50.4a), </w:t>
      </w:r>
      <w:r w:rsidRPr="00AE7F73">
        <w:rPr>
          <w:rFonts w:ascii="Times New Roman" w:eastAsia="Times New Roman" w:hAnsi="Times New Roman" w:cs="Times New Roman"/>
          <w:color w:val="auto"/>
          <w:sz w:val="24"/>
          <w:szCs w:val="24"/>
          <w:u w:val="single"/>
        </w:rPr>
        <w:t>or the provisions of a substantially similar statute under the laws of another state or another country.</w:t>
      </w:r>
      <w:r w:rsidRPr="00AE7F73">
        <w:rPr>
          <w:rFonts w:ascii="Times New Roman" w:eastAsia="Times New Roman" w:hAnsi="Times New Roman" w:cs="Times New Roman"/>
          <w:color w:val="auto"/>
          <w:sz w:val="24"/>
          <w:szCs w:val="24"/>
        </w:rPr>
        <w:t xml:space="preserve">  A person convicted of an offense under this subsection shall be sentenced by the court to a term of imprisonment.</w:t>
      </w:r>
    </w:p>
    <w:p w:rsidR="00107296" w:rsidRPr="00AE7F73" w:rsidRDefault="00107296" w:rsidP="00107296">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w:t>
      </w:r>
    </w:p>
    <w:p w:rsidR="00107296" w:rsidRPr="00AE7F73" w:rsidRDefault="00107296" w:rsidP="00107296">
      <w:pPr>
        <w:spacing w:after="0" w:line="240" w:lineRule="auto"/>
        <w:ind w:left="720" w:right="720"/>
        <w:jc w:val="both"/>
        <w:rPr>
          <w:rFonts w:ascii="Times New Roman" w:eastAsia="Times New Roman" w:hAnsi="Times New Roman" w:cs="Times New Roman"/>
          <w:color w:val="auto"/>
          <w:sz w:val="24"/>
          <w:szCs w:val="24"/>
          <w:u w:val="single"/>
        </w:rPr>
      </w:pPr>
      <w:r w:rsidRPr="00AE7F73">
        <w:rPr>
          <w:rFonts w:ascii="Times New Roman" w:eastAsia="Times New Roman" w:hAnsi="Times New Roman" w:cs="Times New Roman"/>
          <w:color w:val="auto"/>
          <w:sz w:val="24"/>
          <w:szCs w:val="24"/>
          <w:u w:val="single"/>
        </w:rPr>
        <w:t>d.    As used in this section, "state" means a state of the United States, the District of Columbia, the United States Territories of American Samoa, Guam, Puerto Rico, or the United States Virgin Islands.</w:t>
      </w:r>
      <w:r w:rsidRPr="00AE7F73">
        <w:rPr>
          <w:rStyle w:val="FootnoteReference"/>
          <w:rFonts w:ascii="Times New Roman" w:eastAsia="Times New Roman" w:hAnsi="Times New Roman" w:cs="Times New Roman"/>
          <w:color w:val="auto"/>
          <w:sz w:val="24"/>
          <w:szCs w:val="24"/>
          <w:u w:val="single"/>
        </w:rPr>
        <w:footnoteReference w:id="23"/>
      </w:r>
      <w:r w:rsidRPr="00AE7F73">
        <w:rPr>
          <w:rFonts w:ascii="Times New Roman" w:eastAsia="Times New Roman" w:hAnsi="Times New Roman" w:cs="Times New Roman"/>
          <w:color w:val="auto"/>
          <w:sz w:val="24"/>
          <w:szCs w:val="24"/>
          <w:u w:val="single"/>
        </w:rPr>
        <w:t xml:space="preserve">  </w:t>
      </w:r>
    </w:p>
    <w:p w:rsidR="00107296" w:rsidRPr="00AE7F73" w:rsidRDefault="00107296" w:rsidP="00107296">
      <w:pPr>
        <w:spacing w:after="0" w:line="240" w:lineRule="auto"/>
        <w:ind w:firstLine="720"/>
        <w:jc w:val="both"/>
        <w:rPr>
          <w:rFonts w:ascii="Times New Roman" w:eastAsia="Times New Roman" w:hAnsi="Times New Roman" w:cs="Times New Roman"/>
          <w:color w:val="auto"/>
          <w:sz w:val="24"/>
          <w:szCs w:val="24"/>
        </w:rPr>
      </w:pPr>
    </w:p>
    <w:p w:rsidR="00107296" w:rsidRPr="00107296" w:rsidRDefault="00107296" w:rsidP="00107296">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This is the third consecutive Legislative session in which a version of this bill has been introduced. The initial introduction of this legislation was in the 2014-2015 Legislative session by Senator Christopher “Kip” Bateman.</w:t>
      </w:r>
      <w:r w:rsidRPr="00AE7F73">
        <w:rPr>
          <w:rFonts w:ascii="Times New Roman" w:eastAsia="Times New Roman" w:hAnsi="Times New Roman" w:cs="Times New Roman"/>
          <w:color w:val="auto"/>
          <w:sz w:val="24"/>
          <w:szCs w:val="24"/>
          <w:vertAlign w:val="superscript"/>
        </w:rPr>
        <w:footnoteReference w:id="24"/>
      </w:r>
      <w:r w:rsidRPr="00AE7F73">
        <w:rPr>
          <w:rFonts w:ascii="Times New Roman" w:eastAsia="Times New Roman" w:hAnsi="Times New Roman" w:cs="Times New Roman"/>
          <w:color w:val="auto"/>
          <w:sz w:val="24"/>
          <w:szCs w:val="24"/>
        </w:rPr>
        <w:t xml:space="preserve"> Senator Bateman also introduced the bill during the 2016-2017 Legislative session.</w:t>
      </w:r>
      <w:r w:rsidRPr="00AE7F73">
        <w:rPr>
          <w:rStyle w:val="FootnoteReference"/>
          <w:rFonts w:ascii="Times New Roman" w:eastAsia="Times New Roman" w:hAnsi="Times New Roman" w:cs="Times New Roman"/>
          <w:color w:val="auto"/>
          <w:sz w:val="24"/>
          <w:szCs w:val="24"/>
        </w:rPr>
        <w:footnoteReference w:id="25"/>
      </w:r>
      <w:r w:rsidRPr="00AE7F73">
        <w:rPr>
          <w:rFonts w:ascii="Times New Roman" w:eastAsia="Times New Roman" w:hAnsi="Times New Roman" w:cs="Times New Roman"/>
          <w:color w:val="auto"/>
          <w:sz w:val="24"/>
          <w:szCs w:val="24"/>
        </w:rPr>
        <w:t xml:space="preserve"> Assemblywoman Nancy F. Muñoz, the sponsor of A2491 in the current Legislative session, initially introduced this legislation in the Assembly in the 2016-2017 session.</w:t>
      </w:r>
      <w:r w:rsidRPr="00AE7F73">
        <w:rPr>
          <w:rFonts w:ascii="Times New Roman" w:eastAsia="Times New Roman" w:hAnsi="Times New Roman" w:cs="Times New Roman"/>
          <w:color w:val="auto"/>
          <w:sz w:val="24"/>
          <w:szCs w:val="24"/>
          <w:vertAlign w:val="superscript"/>
        </w:rPr>
        <w:footnoteReference w:id="26"/>
      </w:r>
      <w:r w:rsidRPr="00AE7F7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The current Assembly version of the bill is identical to the original Senate version introduced in the 2014-2015 Legislative session. The bill has yet to be heard by Committee in either the Assembly or Senate. </w:t>
      </w:r>
    </w:p>
    <w:p w:rsidR="002D545A" w:rsidRPr="00AE7F73" w:rsidRDefault="001B3F76" w:rsidP="00BA4C58">
      <w:pPr>
        <w:spacing w:after="0" w:line="240" w:lineRule="auto"/>
        <w:jc w:val="center"/>
        <w:rPr>
          <w:rFonts w:ascii="Times New Roman" w:eastAsia="Times New Roman" w:hAnsi="Times New Roman" w:cs="Times New Roman"/>
          <w:b/>
          <w:color w:val="auto"/>
          <w:sz w:val="24"/>
          <w:szCs w:val="24"/>
        </w:rPr>
      </w:pPr>
      <w:r w:rsidRPr="00AE7F73">
        <w:rPr>
          <w:rFonts w:ascii="Times New Roman" w:eastAsia="Times New Roman" w:hAnsi="Times New Roman" w:cs="Times New Roman"/>
          <w:b/>
          <w:color w:val="auto"/>
          <w:sz w:val="24"/>
          <w:szCs w:val="24"/>
        </w:rPr>
        <w:t>Conclusion</w:t>
      </w:r>
    </w:p>
    <w:p w:rsidR="002D545A" w:rsidRPr="00AE7F73" w:rsidRDefault="002D545A" w:rsidP="00BA4C58">
      <w:pPr>
        <w:spacing w:after="0" w:line="240" w:lineRule="auto"/>
        <w:ind w:right="720" w:firstLine="720"/>
        <w:jc w:val="both"/>
        <w:rPr>
          <w:rFonts w:ascii="Times New Roman" w:eastAsia="Times New Roman" w:hAnsi="Times New Roman" w:cs="Times New Roman"/>
          <w:color w:val="auto"/>
          <w:sz w:val="24"/>
          <w:szCs w:val="24"/>
        </w:rPr>
      </w:pPr>
    </w:p>
    <w:p w:rsidR="002D545A" w:rsidRPr="00AE7F73" w:rsidRDefault="001B3F76" w:rsidP="00255668">
      <w:pPr>
        <w:spacing w:after="0" w:line="240" w:lineRule="auto"/>
        <w:ind w:firstLine="720"/>
        <w:jc w:val="both"/>
        <w:rPr>
          <w:rFonts w:ascii="Times New Roman" w:eastAsia="Times New Roman" w:hAnsi="Times New Roman" w:cs="Times New Roman"/>
          <w:color w:val="auto"/>
          <w:sz w:val="24"/>
          <w:szCs w:val="24"/>
        </w:rPr>
      </w:pPr>
      <w:r w:rsidRPr="00AE7F73">
        <w:rPr>
          <w:rFonts w:ascii="Times New Roman" w:eastAsia="Times New Roman" w:hAnsi="Times New Roman" w:cs="Times New Roman"/>
          <w:color w:val="auto"/>
          <w:sz w:val="24"/>
          <w:szCs w:val="24"/>
        </w:rPr>
        <w:t xml:space="preserve">Since the Legislature is currently pursuing action directly in the area covered by this project, </w:t>
      </w:r>
      <w:r w:rsidR="0044706A" w:rsidRPr="00AE7F73">
        <w:rPr>
          <w:rFonts w:ascii="Times New Roman" w:eastAsia="Times New Roman" w:hAnsi="Times New Roman" w:cs="Times New Roman"/>
          <w:color w:val="auto"/>
          <w:sz w:val="24"/>
          <w:szCs w:val="24"/>
        </w:rPr>
        <w:t>and in an effort to refrain from duplicating the efforts of the Legislature</w:t>
      </w:r>
      <w:r w:rsidR="00216AD7" w:rsidRPr="00AE7F73">
        <w:rPr>
          <w:rFonts w:ascii="Times New Roman" w:eastAsia="Times New Roman" w:hAnsi="Times New Roman" w:cs="Times New Roman"/>
          <w:color w:val="auto"/>
          <w:sz w:val="24"/>
          <w:szCs w:val="24"/>
        </w:rPr>
        <w:t xml:space="preserve"> in this area</w:t>
      </w:r>
      <w:r w:rsidR="0044706A" w:rsidRPr="00AE7F73">
        <w:rPr>
          <w:rFonts w:ascii="Times New Roman" w:eastAsia="Times New Roman" w:hAnsi="Times New Roman" w:cs="Times New Roman"/>
          <w:color w:val="auto"/>
          <w:sz w:val="24"/>
          <w:szCs w:val="24"/>
        </w:rPr>
        <w:t xml:space="preserve">, </w:t>
      </w:r>
      <w:r w:rsidRPr="00AE7F73">
        <w:rPr>
          <w:rFonts w:ascii="Times New Roman" w:eastAsia="Times New Roman" w:hAnsi="Times New Roman" w:cs="Times New Roman"/>
          <w:color w:val="auto"/>
          <w:sz w:val="24"/>
          <w:szCs w:val="24"/>
        </w:rPr>
        <w:t>it is recommended that no further action be taken on this project by the Commission at this time.</w:t>
      </w:r>
    </w:p>
    <w:sectPr w:rsidR="002D545A" w:rsidRPr="00AE7F7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CA" w:rsidRDefault="001B3F76">
      <w:pPr>
        <w:spacing w:after="0" w:line="240" w:lineRule="auto"/>
      </w:pPr>
      <w:r>
        <w:separator/>
      </w:r>
    </w:p>
  </w:endnote>
  <w:endnote w:type="continuationSeparator" w:id="0">
    <w:p w:rsidR="004E44CA" w:rsidRDefault="001B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5A" w:rsidRDefault="001B3F76">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 of State DWI – Memorandum – March 5, 2018 –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3E020C">
      <w:rPr>
        <w:rFonts w:ascii="Times New Roman" w:eastAsia="Times New Roman" w:hAnsi="Times New Roman" w:cs="Times New Roman"/>
        <w:noProof/>
        <w:sz w:val="20"/>
        <w:szCs w:val="20"/>
      </w:rPr>
      <w:t>4</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CA" w:rsidRDefault="001B3F76">
      <w:pPr>
        <w:spacing w:after="0" w:line="240" w:lineRule="auto"/>
      </w:pPr>
      <w:r>
        <w:separator/>
      </w:r>
    </w:p>
  </w:footnote>
  <w:footnote w:type="continuationSeparator" w:id="0">
    <w:p w:rsidR="004E44CA" w:rsidRDefault="001B3F76">
      <w:pPr>
        <w:spacing w:after="0" w:line="240" w:lineRule="auto"/>
      </w:pPr>
      <w:r>
        <w:continuationSeparator/>
      </w:r>
    </w:p>
  </w:footnote>
  <w:footnote w:id="1">
    <w:p w:rsidR="002D545A" w:rsidRPr="00AE7F73" w:rsidRDefault="001B3F7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Memorandum from Lauren B. Jones, to the New Jersey Law Revision Commission re: </w:t>
      </w:r>
      <w:r w:rsidRPr="00AE7F73">
        <w:rPr>
          <w:rFonts w:ascii="Times New Roman" w:eastAsia="Times New Roman" w:hAnsi="Times New Roman" w:cs="Times New Roman"/>
          <w:i/>
          <w:color w:val="auto"/>
          <w:sz w:val="20"/>
          <w:szCs w:val="20"/>
        </w:rPr>
        <w:t>State v. Luzhak</w:t>
      </w:r>
      <w:r w:rsidRPr="00AE7F73">
        <w:rPr>
          <w:rFonts w:ascii="Times New Roman" w:eastAsia="Times New Roman" w:hAnsi="Times New Roman" w:cs="Times New Roman"/>
          <w:color w:val="auto"/>
          <w:sz w:val="20"/>
          <w:szCs w:val="20"/>
        </w:rPr>
        <w:t xml:space="preserve"> (July 19, 2017)(on file with the Commission).</w:t>
      </w:r>
    </w:p>
  </w:footnote>
  <w:footnote w:id="2">
    <w:p w:rsidR="002D545A" w:rsidRPr="00AE7F73" w:rsidRDefault="001B3F76">
      <w:pPr>
        <w:spacing w:after="0" w:line="240" w:lineRule="auto"/>
        <w:rPr>
          <w:rFonts w:ascii="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w:t>
      </w:r>
      <w:r w:rsidRPr="00AE7F73">
        <w:rPr>
          <w:rFonts w:ascii="Times New Roman" w:eastAsia="Times New Roman" w:hAnsi="Times New Roman" w:cs="Times New Roman"/>
          <w:i/>
          <w:color w:val="auto"/>
          <w:sz w:val="20"/>
          <w:szCs w:val="20"/>
        </w:rPr>
        <w:t>State v. Luzhak</w:t>
      </w:r>
      <w:r w:rsidRPr="00AE7F73">
        <w:rPr>
          <w:rFonts w:ascii="Times New Roman" w:eastAsia="Times New Roman" w:hAnsi="Times New Roman" w:cs="Times New Roman"/>
          <w:color w:val="auto"/>
          <w:sz w:val="20"/>
          <w:szCs w:val="20"/>
        </w:rPr>
        <w:t>, 445 N.J. Super. 241 (App. Div. 2016).</w:t>
      </w:r>
    </w:p>
  </w:footnote>
  <w:footnote w:id="3">
    <w:p w:rsidR="002D545A" w:rsidRPr="00AE7F73" w:rsidRDefault="001B3F7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A2491, 218th Leg., Reg. Sess. (NJ. 2018).</w:t>
      </w:r>
    </w:p>
  </w:footnote>
  <w:footnote w:id="4">
    <w:p w:rsidR="001A20BF" w:rsidRDefault="001A20BF">
      <w:pPr>
        <w:pStyle w:val="FootnoteText"/>
      </w:pPr>
      <w:r w:rsidRPr="00AE7F73">
        <w:rPr>
          <w:rStyle w:val="FootnoteReference"/>
          <w:rFonts w:ascii="Times New Roman" w:hAnsi="Times New Roman" w:cs="Times New Roman"/>
          <w:color w:val="auto"/>
        </w:rPr>
        <w:footnoteRef/>
      </w:r>
      <w:r w:rsidRPr="00AE7F73">
        <w:rPr>
          <w:rFonts w:ascii="Times New Roman" w:hAnsi="Times New Roman" w:cs="Times New Roman"/>
          <w:color w:val="auto"/>
        </w:rPr>
        <w:t xml:space="preserve"> </w:t>
      </w:r>
      <w:r w:rsidRPr="00AE7F73">
        <w:rPr>
          <w:rFonts w:ascii="Times New Roman" w:eastAsia="Times New Roman" w:hAnsi="Times New Roman" w:cs="Times New Roman"/>
          <w:color w:val="auto"/>
        </w:rPr>
        <w:t xml:space="preserve">N.J.S. 39:3-40. </w:t>
      </w:r>
      <w:r w:rsidR="007C4920" w:rsidRPr="00AE7F73">
        <w:rPr>
          <w:rFonts w:ascii="Times New Roman" w:eastAsia="Times New Roman" w:hAnsi="Times New Roman" w:cs="Times New Roman"/>
          <w:color w:val="auto"/>
        </w:rPr>
        <w:t>“</w:t>
      </w:r>
      <w:r w:rsidRPr="00AE7F73">
        <w:rPr>
          <w:rFonts w:ascii="Times New Roman" w:hAnsi="Times New Roman" w:cs="Times New Roman"/>
          <w:color w:val="auto"/>
        </w:rPr>
        <w:t>No person to whom a driver's license has been refused or whose driver's license or reciprocity privilege has been suspended or revoked, or who has been prohibited from obtaining a driver's license, shall personally operate a motor vehicle during the period of refusal, suspension, revocation, or prohibition</w:t>
      </w:r>
      <w:r w:rsidR="00017890">
        <w:rPr>
          <w:rFonts w:ascii="Times New Roman" w:hAnsi="Times New Roman" w:cs="Times New Roman"/>
          <w:color w:val="auto"/>
        </w:rPr>
        <w:t>..</w:t>
      </w:r>
      <w:r w:rsidRPr="00AE7F73">
        <w:rPr>
          <w:rFonts w:ascii="Times New Roman" w:hAnsi="Times New Roman" w:cs="Times New Roman"/>
          <w:color w:val="auto"/>
        </w:rPr>
        <w:t>.</w:t>
      </w:r>
      <w:r w:rsidR="007C4920" w:rsidRPr="00AE7F73">
        <w:rPr>
          <w:rFonts w:ascii="Times New Roman" w:hAnsi="Times New Roman" w:cs="Times New Roman"/>
          <w:color w:val="auto"/>
        </w:rPr>
        <w:t>”</w:t>
      </w:r>
    </w:p>
  </w:footnote>
  <w:footnote w:id="5">
    <w:p w:rsidR="002D545A" w:rsidRPr="00AE7F73" w:rsidRDefault="001B3F7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N.J.S. 2C:40-26(b).</w:t>
      </w:r>
    </w:p>
  </w:footnote>
  <w:footnote w:id="6">
    <w:p w:rsidR="0099118B" w:rsidRPr="00AE7F73" w:rsidRDefault="0099118B">
      <w:pPr>
        <w:pStyle w:val="FootnoteText"/>
        <w:rPr>
          <w:rFonts w:ascii="Times New Roman" w:hAnsi="Times New Roman" w:cs="Times New Roman"/>
          <w:color w:val="auto"/>
        </w:rPr>
      </w:pPr>
      <w:r w:rsidRPr="00AE7F73">
        <w:rPr>
          <w:rStyle w:val="FootnoteReference"/>
          <w:rFonts w:ascii="Times New Roman" w:hAnsi="Times New Roman" w:cs="Times New Roman"/>
          <w:color w:val="auto"/>
        </w:rPr>
        <w:footnoteRef/>
      </w:r>
      <w:r w:rsidRPr="00AE7F73">
        <w:rPr>
          <w:rFonts w:ascii="Times New Roman" w:hAnsi="Times New Roman" w:cs="Times New Roman"/>
          <w:color w:val="auto"/>
        </w:rPr>
        <w:t xml:space="preserve"> </w:t>
      </w:r>
      <w:r w:rsidRPr="00AE7F73">
        <w:rPr>
          <w:rFonts w:ascii="Times New Roman" w:eastAsia="Times New Roman" w:hAnsi="Times New Roman" w:cs="Times New Roman"/>
          <w:color w:val="auto"/>
        </w:rPr>
        <w:t>N.J.S. 39:5D–1 to –14.</w:t>
      </w:r>
    </w:p>
  </w:footnote>
  <w:footnote w:id="7">
    <w:p w:rsidR="002D545A" w:rsidRPr="00AE7F73" w:rsidRDefault="001B3F7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N.J.S. 39:5D–1(b).</w:t>
      </w:r>
    </w:p>
  </w:footnote>
  <w:footnote w:id="8">
    <w:p w:rsidR="00F01A76" w:rsidRPr="00AE7F73" w:rsidRDefault="00F01A76">
      <w:pPr>
        <w:pStyle w:val="FootnoteText"/>
        <w:rPr>
          <w:rFonts w:ascii="Times New Roman" w:hAnsi="Times New Roman" w:cs="Times New Roman"/>
          <w:color w:val="auto"/>
        </w:rPr>
      </w:pPr>
      <w:r w:rsidRPr="00AE7F73">
        <w:rPr>
          <w:rStyle w:val="FootnoteReference"/>
          <w:rFonts w:ascii="Times New Roman" w:hAnsi="Times New Roman" w:cs="Times New Roman"/>
          <w:color w:val="auto"/>
        </w:rPr>
        <w:footnoteRef/>
      </w:r>
      <w:r w:rsidRPr="00AE7F73">
        <w:rPr>
          <w:rFonts w:ascii="Times New Roman" w:hAnsi="Times New Roman" w:cs="Times New Roman"/>
          <w:color w:val="auto"/>
        </w:rPr>
        <w:t xml:space="preserve"> </w:t>
      </w:r>
      <w:r w:rsidRPr="00AE7F73">
        <w:rPr>
          <w:rFonts w:ascii="Times New Roman" w:hAnsi="Times New Roman" w:cs="Times New Roman"/>
          <w:i/>
          <w:color w:val="auto"/>
        </w:rPr>
        <w:t>See State v. Regan</w:t>
      </w:r>
      <w:r w:rsidRPr="00AE7F73">
        <w:rPr>
          <w:rFonts w:ascii="Times New Roman" w:hAnsi="Times New Roman" w:cs="Times New Roman"/>
          <w:color w:val="auto"/>
        </w:rPr>
        <w:t>, 209 N.J.Super. 596 at 604, (App.Div.1986).</w:t>
      </w:r>
    </w:p>
  </w:footnote>
  <w:footnote w:id="9">
    <w:p w:rsidR="00EE4E51" w:rsidRDefault="00EE4E51">
      <w:pPr>
        <w:pStyle w:val="FootnoteText"/>
      </w:pPr>
      <w:r w:rsidRPr="00AE7F73">
        <w:rPr>
          <w:rStyle w:val="FootnoteReference"/>
          <w:rFonts w:ascii="Times New Roman" w:hAnsi="Times New Roman" w:cs="Times New Roman"/>
          <w:color w:val="auto"/>
        </w:rPr>
        <w:footnoteRef/>
      </w:r>
      <w:r w:rsidRPr="00AE7F73">
        <w:rPr>
          <w:rFonts w:ascii="Times New Roman" w:hAnsi="Times New Roman" w:cs="Times New Roman"/>
          <w:color w:val="auto"/>
        </w:rPr>
        <w:t xml:space="preserve"> N.J.S. 39:4-50(a)(3).</w:t>
      </w:r>
    </w:p>
  </w:footnote>
  <w:footnote w:id="10">
    <w:p w:rsidR="002D545A" w:rsidRPr="00AE7F73" w:rsidRDefault="001B3F7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w:t>
      </w:r>
      <w:r w:rsidRPr="00AE7F73">
        <w:rPr>
          <w:rFonts w:ascii="Times New Roman" w:eastAsia="Times New Roman" w:hAnsi="Times New Roman" w:cs="Times New Roman"/>
          <w:i/>
          <w:color w:val="auto"/>
          <w:sz w:val="20"/>
          <w:szCs w:val="20"/>
        </w:rPr>
        <w:t>Luzhak</w:t>
      </w:r>
      <w:r w:rsidRPr="00AE7F73">
        <w:rPr>
          <w:rFonts w:ascii="Times New Roman" w:eastAsia="Times New Roman" w:hAnsi="Times New Roman" w:cs="Times New Roman"/>
          <w:color w:val="auto"/>
          <w:sz w:val="20"/>
          <w:szCs w:val="20"/>
        </w:rPr>
        <w:t>, 445 N.J. Super. at 243.</w:t>
      </w:r>
    </w:p>
  </w:footnote>
  <w:footnote w:id="11">
    <w:p w:rsidR="002D545A" w:rsidRPr="00AE7F73" w:rsidRDefault="001B3F76">
      <w:pPr>
        <w:spacing w:after="0" w:line="240" w:lineRule="auto"/>
        <w:rPr>
          <w:rFonts w:ascii="Times New Roman" w:eastAsia="Times New Roman" w:hAnsi="Times New Roman" w:cs="Times New Roman"/>
          <w:i/>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w:t>
      </w:r>
      <w:r w:rsidRPr="00AE7F73">
        <w:rPr>
          <w:rFonts w:ascii="Times New Roman" w:eastAsia="Times New Roman" w:hAnsi="Times New Roman" w:cs="Times New Roman"/>
          <w:i/>
          <w:color w:val="auto"/>
          <w:sz w:val="20"/>
          <w:szCs w:val="20"/>
        </w:rPr>
        <w:t>Id.</w:t>
      </w:r>
    </w:p>
  </w:footnote>
  <w:footnote w:id="12">
    <w:p w:rsidR="002D545A" w:rsidRPr="00EB33E1" w:rsidRDefault="001B3F76">
      <w:pPr>
        <w:spacing w:after="0" w:line="240" w:lineRule="auto"/>
        <w:rPr>
          <w:rFonts w:ascii="Times New Roman" w:eastAsia="Times New Roman" w:hAnsi="Times New Roman" w:cs="Times New Roman"/>
          <w:i/>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w:t>
      </w:r>
      <w:r w:rsidRPr="00AE7F73">
        <w:rPr>
          <w:rFonts w:ascii="Times New Roman" w:eastAsia="Times New Roman" w:hAnsi="Times New Roman" w:cs="Times New Roman"/>
          <w:i/>
          <w:color w:val="auto"/>
          <w:sz w:val="20"/>
          <w:szCs w:val="20"/>
        </w:rPr>
        <w:t>Id.</w:t>
      </w:r>
    </w:p>
  </w:footnote>
  <w:footnote w:id="13">
    <w:p w:rsidR="002D545A" w:rsidRPr="00D06975" w:rsidRDefault="001B3F76">
      <w:pPr>
        <w:spacing w:after="0" w:line="240" w:lineRule="auto"/>
        <w:rPr>
          <w:rFonts w:ascii="Times New Roman" w:eastAsia="Times New Roman" w:hAnsi="Times New Roman" w:cs="Times New Roman"/>
          <w:i/>
          <w:color w:val="auto"/>
          <w:sz w:val="20"/>
          <w:szCs w:val="20"/>
        </w:rPr>
      </w:pPr>
      <w:r w:rsidRPr="00D06975">
        <w:rPr>
          <w:rFonts w:ascii="Times New Roman" w:hAnsi="Times New Roman" w:cs="Times New Roman"/>
          <w:color w:val="auto"/>
          <w:sz w:val="20"/>
          <w:szCs w:val="20"/>
          <w:vertAlign w:val="superscript"/>
        </w:rPr>
        <w:footnoteRef/>
      </w:r>
      <w:r w:rsidRPr="00D06975">
        <w:rPr>
          <w:rFonts w:ascii="Times New Roman" w:eastAsia="Times New Roman" w:hAnsi="Times New Roman" w:cs="Times New Roman"/>
          <w:color w:val="auto"/>
          <w:sz w:val="20"/>
          <w:szCs w:val="20"/>
        </w:rPr>
        <w:t xml:space="preserve"> </w:t>
      </w:r>
      <w:r w:rsidRPr="00D06975">
        <w:rPr>
          <w:rFonts w:ascii="Times New Roman" w:eastAsia="Times New Roman" w:hAnsi="Times New Roman" w:cs="Times New Roman"/>
          <w:i/>
          <w:color w:val="auto"/>
          <w:sz w:val="20"/>
          <w:szCs w:val="20"/>
        </w:rPr>
        <w:t>Id.</w:t>
      </w:r>
    </w:p>
  </w:footnote>
  <w:footnote w:id="14">
    <w:p w:rsidR="002D545A" w:rsidRPr="00D06975" w:rsidRDefault="001B3F76">
      <w:pPr>
        <w:spacing w:after="0" w:line="240" w:lineRule="auto"/>
        <w:rPr>
          <w:rFonts w:ascii="Times New Roman" w:eastAsia="Times New Roman" w:hAnsi="Times New Roman" w:cs="Times New Roman"/>
          <w:i/>
          <w:color w:val="auto"/>
          <w:sz w:val="20"/>
          <w:szCs w:val="20"/>
        </w:rPr>
      </w:pPr>
      <w:r w:rsidRPr="00D06975">
        <w:rPr>
          <w:rFonts w:ascii="Times New Roman" w:hAnsi="Times New Roman" w:cs="Times New Roman"/>
          <w:color w:val="auto"/>
          <w:sz w:val="20"/>
          <w:szCs w:val="20"/>
          <w:vertAlign w:val="superscript"/>
        </w:rPr>
        <w:footnoteRef/>
      </w:r>
      <w:r w:rsidRPr="00D06975">
        <w:rPr>
          <w:rFonts w:ascii="Times New Roman" w:eastAsia="Times New Roman" w:hAnsi="Times New Roman" w:cs="Times New Roman"/>
          <w:color w:val="auto"/>
          <w:sz w:val="20"/>
          <w:szCs w:val="20"/>
        </w:rPr>
        <w:t xml:space="preserve"> </w:t>
      </w:r>
      <w:r w:rsidRPr="00D06975">
        <w:rPr>
          <w:rFonts w:ascii="Times New Roman" w:eastAsia="Times New Roman" w:hAnsi="Times New Roman" w:cs="Times New Roman"/>
          <w:i/>
          <w:color w:val="auto"/>
          <w:sz w:val="20"/>
          <w:szCs w:val="20"/>
        </w:rPr>
        <w:t>Id.</w:t>
      </w:r>
    </w:p>
  </w:footnote>
  <w:footnote w:id="15">
    <w:p w:rsidR="002D545A" w:rsidRPr="00D06975" w:rsidRDefault="001B3F76">
      <w:pPr>
        <w:spacing w:after="0" w:line="240" w:lineRule="auto"/>
        <w:rPr>
          <w:rFonts w:ascii="Times New Roman" w:eastAsia="Times New Roman" w:hAnsi="Times New Roman" w:cs="Times New Roman"/>
          <w:i/>
          <w:sz w:val="20"/>
          <w:szCs w:val="20"/>
        </w:rPr>
      </w:pPr>
      <w:r w:rsidRPr="00D06975">
        <w:rPr>
          <w:rFonts w:ascii="Times New Roman" w:hAnsi="Times New Roman" w:cs="Times New Roman"/>
          <w:color w:val="auto"/>
          <w:sz w:val="20"/>
          <w:szCs w:val="20"/>
          <w:vertAlign w:val="superscript"/>
        </w:rPr>
        <w:footnoteRef/>
      </w:r>
      <w:r w:rsidRPr="00D06975">
        <w:rPr>
          <w:rFonts w:ascii="Times New Roman" w:eastAsia="Times New Roman" w:hAnsi="Times New Roman" w:cs="Times New Roman"/>
          <w:color w:val="auto"/>
          <w:sz w:val="20"/>
          <w:szCs w:val="20"/>
        </w:rPr>
        <w:t xml:space="preserve"> </w:t>
      </w:r>
      <w:r w:rsidRPr="00D06975">
        <w:rPr>
          <w:rFonts w:ascii="Times New Roman" w:eastAsia="Times New Roman" w:hAnsi="Times New Roman" w:cs="Times New Roman"/>
          <w:i/>
          <w:color w:val="auto"/>
          <w:sz w:val="20"/>
          <w:szCs w:val="20"/>
        </w:rPr>
        <w:t>Id.</w:t>
      </w:r>
    </w:p>
  </w:footnote>
  <w:footnote w:id="16">
    <w:p w:rsidR="00D76B44" w:rsidRPr="00C2096A" w:rsidRDefault="00D76B44">
      <w:pPr>
        <w:pStyle w:val="FootnoteText"/>
        <w:rPr>
          <w:rFonts w:ascii="Times New Roman" w:hAnsi="Times New Roman" w:cs="Times New Roman"/>
          <w:i/>
        </w:rPr>
      </w:pPr>
      <w:r w:rsidRPr="00C2096A">
        <w:rPr>
          <w:rStyle w:val="FootnoteReference"/>
          <w:rFonts w:ascii="Times New Roman" w:hAnsi="Times New Roman" w:cs="Times New Roman"/>
        </w:rPr>
        <w:footnoteRef/>
      </w:r>
      <w:r w:rsidRPr="00C2096A">
        <w:rPr>
          <w:rFonts w:ascii="Times New Roman" w:hAnsi="Times New Roman" w:cs="Times New Roman"/>
        </w:rPr>
        <w:t xml:space="preserve"> </w:t>
      </w:r>
      <w:r w:rsidRPr="00C2096A">
        <w:rPr>
          <w:rFonts w:ascii="Times New Roman" w:hAnsi="Times New Roman" w:cs="Times New Roman"/>
          <w:i/>
        </w:rPr>
        <w:t xml:space="preserve">Id. at 244-245. </w:t>
      </w:r>
    </w:p>
  </w:footnote>
  <w:footnote w:id="17">
    <w:p w:rsidR="00C2096A" w:rsidRPr="00C2096A" w:rsidRDefault="00C2096A">
      <w:pPr>
        <w:pStyle w:val="FootnoteText"/>
        <w:rPr>
          <w:i/>
        </w:rPr>
      </w:pPr>
      <w:r w:rsidRPr="00C2096A">
        <w:rPr>
          <w:rStyle w:val="FootnoteReference"/>
          <w:rFonts w:ascii="Times New Roman" w:hAnsi="Times New Roman" w:cs="Times New Roman"/>
        </w:rPr>
        <w:footnoteRef/>
      </w:r>
      <w:r w:rsidRPr="00C2096A">
        <w:rPr>
          <w:rFonts w:ascii="Times New Roman" w:hAnsi="Times New Roman" w:cs="Times New Roman"/>
        </w:rPr>
        <w:t xml:space="preserve"> </w:t>
      </w:r>
      <w:r w:rsidRPr="00C2096A">
        <w:rPr>
          <w:rFonts w:ascii="Times New Roman" w:hAnsi="Times New Roman" w:cs="Times New Roman"/>
          <w:i/>
        </w:rPr>
        <w:t>Id.</w:t>
      </w:r>
      <w:r>
        <w:rPr>
          <w:i/>
        </w:rPr>
        <w:t xml:space="preserve"> </w:t>
      </w:r>
    </w:p>
  </w:footnote>
  <w:footnote w:id="18">
    <w:p w:rsidR="00135F0E" w:rsidRPr="00255668" w:rsidRDefault="00135F0E">
      <w:pPr>
        <w:pStyle w:val="FootnoteText"/>
        <w:rPr>
          <w:rFonts w:ascii="Times New Roman" w:hAnsi="Times New Roman" w:cs="Times New Roman"/>
        </w:rPr>
      </w:pPr>
      <w:r w:rsidRPr="00255668">
        <w:rPr>
          <w:rStyle w:val="FootnoteReference"/>
          <w:rFonts w:ascii="Times New Roman" w:hAnsi="Times New Roman" w:cs="Times New Roman"/>
        </w:rPr>
        <w:footnoteRef/>
      </w:r>
      <w:r w:rsidRPr="00255668">
        <w:rPr>
          <w:rFonts w:ascii="Times New Roman" w:hAnsi="Times New Roman" w:cs="Times New Roman"/>
        </w:rPr>
        <w:t xml:space="preserve"> </w:t>
      </w:r>
      <w:r w:rsidRPr="00255668">
        <w:rPr>
          <w:rFonts w:ascii="Times New Roman" w:hAnsi="Times New Roman" w:cs="Times New Roman"/>
          <w:i/>
        </w:rPr>
        <w:t>Id.</w:t>
      </w:r>
      <w:r w:rsidRPr="00255668">
        <w:rPr>
          <w:rFonts w:ascii="Times New Roman" w:hAnsi="Times New Roman" w:cs="Times New Roman"/>
        </w:rPr>
        <w:t xml:space="preserve"> (citing </w:t>
      </w:r>
      <w:r w:rsidRPr="00255668">
        <w:rPr>
          <w:rFonts w:ascii="Times New Roman" w:hAnsi="Times New Roman" w:cs="Times New Roman"/>
          <w:i/>
        </w:rPr>
        <w:t>State v. Carrigan</w:t>
      </w:r>
      <w:r w:rsidRPr="00255668">
        <w:rPr>
          <w:rFonts w:ascii="Times New Roman" w:hAnsi="Times New Roman" w:cs="Times New Roman"/>
        </w:rPr>
        <w:t>, 428 N.J.Super. 609 at 614 (App.Div.2012).</w:t>
      </w:r>
    </w:p>
  </w:footnote>
  <w:footnote w:id="19">
    <w:p w:rsidR="00135F0E" w:rsidRPr="00255668" w:rsidRDefault="00135F0E">
      <w:pPr>
        <w:pStyle w:val="FootnoteText"/>
        <w:rPr>
          <w:rFonts w:ascii="Times New Roman" w:hAnsi="Times New Roman" w:cs="Times New Roman"/>
        </w:rPr>
      </w:pPr>
      <w:r w:rsidRPr="00255668">
        <w:rPr>
          <w:rStyle w:val="FootnoteReference"/>
          <w:rFonts w:ascii="Times New Roman" w:hAnsi="Times New Roman" w:cs="Times New Roman"/>
        </w:rPr>
        <w:footnoteRef/>
      </w:r>
      <w:r w:rsidRPr="00255668">
        <w:rPr>
          <w:rFonts w:ascii="Times New Roman" w:hAnsi="Times New Roman" w:cs="Times New Roman"/>
        </w:rPr>
        <w:t xml:space="preserve"> </w:t>
      </w:r>
      <w:r w:rsidRPr="00255668">
        <w:rPr>
          <w:rFonts w:ascii="Times New Roman" w:hAnsi="Times New Roman" w:cs="Times New Roman"/>
          <w:i/>
        </w:rPr>
        <w:t>Id.</w:t>
      </w:r>
      <w:r w:rsidR="00751E52" w:rsidRPr="00255668">
        <w:rPr>
          <w:rFonts w:ascii="Times New Roman" w:hAnsi="Times New Roman" w:cs="Times New Roman"/>
        </w:rPr>
        <w:t xml:space="preserve"> at 246</w:t>
      </w:r>
      <w:r w:rsidRPr="00255668">
        <w:rPr>
          <w:rFonts w:ascii="Times New Roman" w:hAnsi="Times New Roman" w:cs="Times New Roman"/>
        </w:rPr>
        <w:t xml:space="preserve">. </w:t>
      </w:r>
      <w:r w:rsidR="00B80318">
        <w:rPr>
          <w:rFonts w:ascii="Times New Roman" w:hAnsi="Times New Roman" w:cs="Times New Roman"/>
        </w:rPr>
        <w:t xml:space="preserve"> </w:t>
      </w:r>
    </w:p>
  </w:footnote>
  <w:footnote w:id="20">
    <w:p w:rsidR="00255668" w:rsidRDefault="00255668">
      <w:pPr>
        <w:pStyle w:val="FootnoteText"/>
      </w:pPr>
      <w:r w:rsidRPr="00255668">
        <w:rPr>
          <w:rStyle w:val="FootnoteReference"/>
          <w:rFonts w:ascii="Times New Roman" w:hAnsi="Times New Roman" w:cs="Times New Roman"/>
        </w:rPr>
        <w:footnoteRef/>
      </w:r>
      <w:r w:rsidRPr="00255668">
        <w:rPr>
          <w:rFonts w:ascii="Times New Roman" w:hAnsi="Times New Roman" w:cs="Times New Roman"/>
        </w:rPr>
        <w:t xml:space="preserve"> </w:t>
      </w:r>
      <w:r w:rsidRPr="00255668">
        <w:rPr>
          <w:rFonts w:ascii="Times New Roman" w:hAnsi="Times New Roman" w:cs="Times New Roman"/>
          <w:i/>
        </w:rPr>
        <w:t>Id</w:t>
      </w:r>
      <w:r w:rsidRPr="00255668">
        <w:rPr>
          <w:rFonts w:ascii="Times New Roman" w:hAnsi="Times New Roman" w:cs="Times New Roman"/>
        </w:rPr>
        <w:t>. at 247</w:t>
      </w:r>
      <w:r w:rsidR="00221E54">
        <w:rPr>
          <w:rFonts w:ascii="Times New Roman" w:hAnsi="Times New Roman" w:cs="Times New Roman"/>
        </w:rPr>
        <w:t>–248</w:t>
      </w:r>
      <w:r w:rsidRPr="00255668">
        <w:rPr>
          <w:rFonts w:ascii="Times New Roman" w:hAnsi="Times New Roman" w:cs="Times New Roman"/>
        </w:rPr>
        <w:t xml:space="preserve"> (discussing </w:t>
      </w:r>
      <w:r w:rsidRPr="00255668">
        <w:rPr>
          <w:rFonts w:ascii="Times New Roman" w:hAnsi="Times New Roman" w:cs="Times New Roman"/>
          <w:i/>
        </w:rPr>
        <w:t>Regan</w:t>
      </w:r>
      <w:r w:rsidRPr="00255668">
        <w:rPr>
          <w:rFonts w:ascii="Times New Roman" w:hAnsi="Times New Roman" w:cs="Times New Roman"/>
        </w:rPr>
        <w:t xml:space="preserve">, </w:t>
      </w:r>
      <w:r w:rsidRPr="00255668">
        <w:rPr>
          <w:rFonts w:ascii="Times New Roman" w:hAnsi="Times New Roman" w:cs="Times New Roman"/>
          <w:i/>
        </w:rPr>
        <w:t>supra</w:t>
      </w:r>
      <w:r w:rsidRPr="00255668">
        <w:rPr>
          <w:rFonts w:ascii="Times New Roman" w:hAnsi="Times New Roman" w:cs="Times New Roman"/>
        </w:rPr>
        <w:t xml:space="preserve">, 209 N.J.Super. at 604, 508 A.2d 1149, </w:t>
      </w:r>
      <w:r w:rsidRPr="00255668">
        <w:rPr>
          <w:rFonts w:ascii="Times New Roman" w:hAnsi="Times New Roman" w:cs="Times New Roman"/>
          <w:i/>
        </w:rPr>
        <w:t>State v. Cromwell</w:t>
      </w:r>
      <w:r w:rsidRPr="00255668">
        <w:rPr>
          <w:rFonts w:ascii="Times New Roman" w:hAnsi="Times New Roman" w:cs="Times New Roman"/>
        </w:rPr>
        <w:t>, 194 N.J.</w:t>
      </w:r>
      <w:r>
        <w:rPr>
          <w:rFonts w:ascii="Times New Roman" w:hAnsi="Times New Roman" w:cs="Times New Roman"/>
        </w:rPr>
        <w:t xml:space="preserve">Super. 519, 520–22 </w:t>
      </w:r>
      <w:r w:rsidRPr="00255668">
        <w:rPr>
          <w:rFonts w:ascii="Times New Roman" w:hAnsi="Times New Roman" w:cs="Times New Roman"/>
        </w:rPr>
        <w:t xml:space="preserve">(App.Div.1984), </w:t>
      </w:r>
      <w:r w:rsidRPr="00255668">
        <w:rPr>
          <w:rFonts w:ascii="Times New Roman" w:hAnsi="Times New Roman" w:cs="Times New Roman"/>
          <w:i/>
        </w:rPr>
        <w:t>State v. Colley</w:t>
      </w:r>
      <w:r w:rsidRPr="00255668">
        <w:rPr>
          <w:rFonts w:ascii="Times New Roman" w:hAnsi="Times New Roman" w:cs="Times New Roman"/>
        </w:rPr>
        <w:t>, 397 N.J.Super. 214 at 218–20 (App.Div.2007).</w:t>
      </w:r>
    </w:p>
  </w:footnote>
  <w:footnote w:id="21">
    <w:p w:rsidR="00D06975" w:rsidRDefault="00D06975">
      <w:pPr>
        <w:pStyle w:val="FootnoteText"/>
      </w:pPr>
      <w:r w:rsidRPr="00D06975">
        <w:rPr>
          <w:rStyle w:val="FootnoteReference"/>
          <w:rFonts w:ascii="Times New Roman" w:hAnsi="Times New Roman" w:cs="Times New Roman"/>
        </w:rPr>
        <w:footnoteRef/>
      </w:r>
      <w:r w:rsidRPr="00D06975">
        <w:rPr>
          <w:rFonts w:ascii="Times New Roman" w:hAnsi="Times New Roman" w:cs="Times New Roman"/>
        </w:rPr>
        <w:t xml:space="preserve"> </w:t>
      </w:r>
      <w:r w:rsidRPr="00D06975">
        <w:rPr>
          <w:rFonts w:ascii="Times New Roman" w:hAnsi="Times New Roman" w:cs="Times New Roman"/>
          <w:i/>
        </w:rPr>
        <w:t>State v. Burns</w:t>
      </w:r>
      <w:r w:rsidRPr="00D06975">
        <w:rPr>
          <w:rFonts w:ascii="Times New Roman" w:hAnsi="Times New Roman" w:cs="Times New Roman"/>
        </w:rPr>
        <w:t xml:space="preserve">, No. A-0923-15T3, 2017 WL 2535901 (N.J. Super. Ct. App. Div. June 12, 2017), </w:t>
      </w:r>
      <w:r w:rsidRPr="00D06975">
        <w:rPr>
          <w:rFonts w:ascii="Times New Roman" w:hAnsi="Times New Roman" w:cs="Times New Roman"/>
          <w:i/>
        </w:rPr>
        <w:t>State v. Spears</w:t>
      </w:r>
      <w:r w:rsidRPr="00D06975">
        <w:rPr>
          <w:rFonts w:ascii="Times New Roman" w:hAnsi="Times New Roman" w:cs="Times New Roman"/>
        </w:rPr>
        <w:t>, No. A-4839-14T1, 2017 WL 632441 (N.J. Super. Ct. App. Div. Feb. 16, 2017).</w:t>
      </w:r>
    </w:p>
  </w:footnote>
  <w:footnote w:id="22">
    <w:p w:rsidR="00107296" w:rsidRPr="00AE7F73" w:rsidRDefault="00107296" w:rsidP="0010729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A2491, 218th Leg., Reg. Sess. (NJ. 2018).</w:t>
      </w:r>
    </w:p>
  </w:footnote>
  <w:footnote w:id="23">
    <w:p w:rsidR="00107296" w:rsidRPr="00AE7F73" w:rsidRDefault="00107296" w:rsidP="00107296">
      <w:pPr>
        <w:pStyle w:val="FootnoteText"/>
        <w:rPr>
          <w:rFonts w:ascii="Times New Roman" w:hAnsi="Times New Roman" w:cs="Times New Roman"/>
          <w:color w:val="auto"/>
        </w:rPr>
      </w:pPr>
      <w:r w:rsidRPr="00AE7F73">
        <w:rPr>
          <w:rStyle w:val="FootnoteReference"/>
          <w:rFonts w:ascii="Times New Roman" w:hAnsi="Times New Roman" w:cs="Times New Roman"/>
          <w:color w:val="auto"/>
        </w:rPr>
        <w:footnoteRef/>
      </w:r>
      <w:r w:rsidRPr="00AE7F73">
        <w:rPr>
          <w:rFonts w:ascii="Times New Roman" w:hAnsi="Times New Roman" w:cs="Times New Roman"/>
          <w:color w:val="auto"/>
        </w:rPr>
        <w:t xml:space="preserve"> </w:t>
      </w:r>
      <w:r w:rsidRPr="00AE7F73">
        <w:rPr>
          <w:rFonts w:ascii="Times New Roman" w:hAnsi="Times New Roman" w:cs="Times New Roman"/>
          <w:i/>
          <w:color w:val="auto"/>
        </w:rPr>
        <w:t>Id.</w:t>
      </w:r>
      <w:r w:rsidRPr="00AE7F73">
        <w:rPr>
          <w:rFonts w:ascii="Times New Roman" w:hAnsi="Times New Roman" w:cs="Times New Roman"/>
          <w:color w:val="auto"/>
        </w:rPr>
        <w:t xml:space="preserve"> </w:t>
      </w:r>
      <w:r>
        <w:rPr>
          <w:rFonts w:ascii="Times New Roman" w:hAnsi="Times New Roman" w:cs="Times New Roman"/>
          <w:color w:val="auto"/>
        </w:rPr>
        <w:t xml:space="preserve">Bracketed text indicates language which would be omitted from the statute if the bill is enacted. </w:t>
      </w:r>
      <w:r w:rsidRPr="00AE7F73">
        <w:rPr>
          <w:rFonts w:ascii="Times New Roman" w:hAnsi="Times New Roman" w:cs="Times New Roman"/>
          <w:color w:val="auto"/>
        </w:rPr>
        <w:t>Underlined text would be added to the statute if the bill is enacted.</w:t>
      </w:r>
    </w:p>
  </w:footnote>
  <w:footnote w:id="24">
    <w:p w:rsidR="00107296" w:rsidRPr="00AE7F73" w:rsidRDefault="00107296" w:rsidP="0010729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S2179, 216th Leg., Reg. Sess. (NJ. 2014).</w:t>
      </w:r>
    </w:p>
  </w:footnote>
  <w:footnote w:id="25">
    <w:p w:rsidR="00107296" w:rsidRPr="00AE7F73" w:rsidRDefault="00107296" w:rsidP="00107296">
      <w:pPr>
        <w:pStyle w:val="FootnoteText"/>
        <w:rPr>
          <w:rFonts w:ascii="Times New Roman" w:hAnsi="Times New Roman" w:cs="Times New Roman"/>
          <w:color w:val="auto"/>
        </w:rPr>
      </w:pPr>
      <w:r w:rsidRPr="00AE7F73">
        <w:rPr>
          <w:rStyle w:val="FootnoteReference"/>
          <w:rFonts w:ascii="Times New Roman" w:hAnsi="Times New Roman" w:cs="Times New Roman"/>
          <w:color w:val="auto"/>
        </w:rPr>
        <w:footnoteRef/>
      </w:r>
      <w:r w:rsidRPr="00AE7F73">
        <w:rPr>
          <w:rFonts w:ascii="Times New Roman" w:hAnsi="Times New Roman" w:cs="Times New Roman"/>
          <w:color w:val="auto"/>
        </w:rPr>
        <w:t xml:space="preserve"> </w:t>
      </w:r>
      <w:r w:rsidRPr="00AE7F73">
        <w:rPr>
          <w:rFonts w:ascii="Times New Roman" w:eastAsia="Times New Roman" w:hAnsi="Times New Roman" w:cs="Times New Roman"/>
          <w:color w:val="auto"/>
        </w:rPr>
        <w:t>S175, 217th Leg., Reg. Sess. (NJ. 2016).</w:t>
      </w:r>
    </w:p>
  </w:footnote>
  <w:footnote w:id="26">
    <w:p w:rsidR="00107296" w:rsidRPr="00AE7F73" w:rsidRDefault="00107296" w:rsidP="00107296">
      <w:pPr>
        <w:spacing w:after="0" w:line="240" w:lineRule="auto"/>
        <w:rPr>
          <w:rFonts w:ascii="Times New Roman" w:eastAsia="Times New Roman" w:hAnsi="Times New Roman" w:cs="Times New Roman"/>
          <w:color w:val="auto"/>
          <w:sz w:val="20"/>
          <w:szCs w:val="20"/>
        </w:rPr>
      </w:pPr>
      <w:r w:rsidRPr="00AE7F73">
        <w:rPr>
          <w:rFonts w:ascii="Times New Roman" w:hAnsi="Times New Roman" w:cs="Times New Roman"/>
          <w:color w:val="auto"/>
          <w:sz w:val="20"/>
          <w:szCs w:val="20"/>
          <w:vertAlign w:val="superscript"/>
        </w:rPr>
        <w:footnoteRef/>
      </w:r>
      <w:r w:rsidRPr="00AE7F73">
        <w:rPr>
          <w:rFonts w:ascii="Times New Roman" w:eastAsia="Times New Roman" w:hAnsi="Times New Roman" w:cs="Times New Roman"/>
          <w:color w:val="auto"/>
          <w:sz w:val="20"/>
          <w:szCs w:val="20"/>
        </w:rPr>
        <w:t xml:space="preserve"> A3595, 217th Leg., Reg. Sess. (NJ.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1322B"/>
    <w:multiLevelType w:val="hybridMultilevel"/>
    <w:tmpl w:val="5694BF58"/>
    <w:lvl w:ilvl="0" w:tplc="386AA46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5A"/>
    <w:rsid w:val="00007F7D"/>
    <w:rsid w:val="0001453E"/>
    <w:rsid w:val="00017890"/>
    <w:rsid w:val="000360DA"/>
    <w:rsid w:val="000428F5"/>
    <w:rsid w:val="000921CB"/>
    <w:rsid w:val="000B5A5D"/>
    <w:rsid w:val="000F5678"/>
    <w:rsid w:val="00107296"/>
    <w:rsid w:val="00131B00"/>
    <w:rsid w:val="00132E27"/>
    <w:rsid w:val="00135F0E"/>
    <w:rsid w:val="001A20BF"/>
    <w:rsid w:val="001B3F76"/>
    <w:rsid w:val="001D4470"/>
    <w:rsid w:val="0021648E"/>
    <w:rsid w:val="00216AD7"/>
    <w:rsid w:val="00221E54"/>
    <w:rsid w:val="00255668"/>
    <w:rsid w:val="00257463"/>
    <w:rsid w:val="0026696E"/>
    <w:rsid w:val="002B17EF"/>
    <w:rsid w:val="002C101C"/>
    <w:rsid w:val="002C6C8B"/>
    <w:rsid w:val="002D545A"/>
    <w:rsid w:val="00324BCD"/>
    <w:rsid w:val="00325412"/>
    <w:rsid w:val="00332346"/>
    <w:rsid w:val="00347DCA"/>
    <w:rsid w:val="00350063"/>
    <w:rsid w:val="0035606C"/>
    <w:rsid w:val="003E020C"/>
    <w:rsid w:val="00402578"/>
    <w:rsid w:val="00415F50"/>
    <w:rsid w:val="0044706A"/>
    <w:rsid w:val="00447693"/>
    <w:rsid w:val="00463B16"/>
    <w:rsid w:val="00474444"/>
    <w:rsid w:val="00483F24"/>
    <w:rsid w:val="004935B9"/>
    <w:rsid w:val="004A1965"/>
    <w:rsid w:val="004E44CA"/>
    <w:rsid w:val="00536F77"/>
    <w:rsid w:val="0054639C"/>
    <w:rsid w:val="00560CA7"/>
    <w:rsid w:val="00563684"/>
    <w:rsid w:val="005656F5"/>
    <w:rsid w:val="00566F2E"/>
    <w:rsid w:val="0058735B"/>
    <w:rsid w:val="00590B33"/>
    <w:rsid w:val="0059686F"/>
    <w:rsid w:val="005B694E"/>
    <w:rsid w:val="0061505C"/>
    <w:rsid w:val="006372AC"/>
    <w:rsid w:val="0065694A"/>
    <w:rsid w:val="00670393"/>
    <w:rsid w:val="00686F42"/>
    <w:rsid w:val="006925B8"/>
    <w:rsid w:val="006B22D6"/>
    <w:rsid w:val="006D2A94"/>
    <w:rsid w:val="006F5F44"/>
    <w:rsid w:val="00733ED0"/>
    <w:rsid w:val="00734F5D"/>
    <w:rsid w:val="00751E52"/>
    <w:rsid w:val="00762675"/>
    <w:rsid w:val="00794E35"/>
    <w:rsid w:val="007C1480"/>
    <w:rsid w:val="007C4920"/>
    <w:rsid w:val="007D1556"/>
    <w:rsid w:val="007E3B39"/>
    <w:rsid w:val="00827DB2"/>
    <w:rsid w:val="0087739B"/>
    <w:rsid w:val="00887D7F"/>
    <w:rsid w:val="008A5E1A"/>
    <w:rsid w:val="008B30B0"/>
    <w:rsid w:val="008B7BC8"/>
    <w:rsid w:val="00920846"/>
    <w:rsid w:val="00927D4D"/>
    <w:rsid w:val="009338F0"/>
    <w:rsid w:val="00941053"/>
    <w:rsid w:val="00945829"/>
    <w:rsid w:val="0099118B"/>
    <w:rsid w:val="009B2718"/>
    <w:rsid w:val="009C0017"/>
    <w:rsid w:val="009D6FC2"/>
    <w:rsid w:val="009F3B4E"/>
    <w:rsid w:val="00A1037E"/>
    <w:rsid w:val="00A32D0D"/>
    <w:rsid w:val="00A63686"/>
    <w:rsid w:val="00A848A5"/>
    <w:rsid w:val="00AB47D4"/>
    <w:rsid w:val="00AC4CF1"/>
    <w:rsid w:val="00AE420A"/>
    <w:rsid w:val="00AE7F73"/>
    <w:rsid w:val="00AF122A"/>
    <w:rsid w:val="00B0574F"/>
    <w:rsid w:val="00B216A3"/>
    <w:rsid w:val="00B32932"/>
    <w:rsid w:val="00B55250"/>
    <w:rsid w:val="00B55C7C"/>
    <w:rsid w:val="00B80318"/>
    <w:rsid w:val="00B86028"/>
    <w:rsid w:val="00BA4C58"/>
    <w:rsid w:val="00BB5C10"/>
    <w:rsid w:val="00BD510E"/>
    <w:rsid w:val="00BF1907"/>
    <w:rsid w:val="00BF5EC9"/>
    <w:rsid w:val="00C2096A"/>
    <w:rsid w:val="00C34068"/>
    <w:rsid w:val="00C371D8"/>
    <w:rsid w:val="00C52631"/>
    <w:rsid w:val="00C64BF7"/>
    <w:rsid w:val="00C86FB3"/>
    <w:rsid w:val="00C923AC"/>
    <w:rsid w:val="00D06975"/>
    <w:rsid w:val="00D17A4D"/>
    <w:rsid w:val="00D26D9E"/>
    <w:rsid w:val="00D46635"/>
    <w:rsid w:val="00D76B44"/>
    <w:rsid w:val="00D93081"/>
    <w:rsid w:val="00DA15D1"/>
    <w:rsid w:val="00DB4CD5"/>
    <w:rsid w:val="00DB71B4"/>
    <w:rsid w:val="00DB7D34"/>
    <w:rsid w:val="00E24A8F"/>
    <w:rsid w:val="00E5510F"/>
    <w:rsid w:val="00E56076"/>
    <w:rsid w:val="00E57797"/>
    <w:rsid w:val="00E65F2A"/>
    <w:rsid w:val="00E770F5"/>
    <w:rsid w:val="00E9169B"/>
    <w:rsid w:val="00EB33E1"/>
    <w:rsid w:val="00ED53CF"/>
    <w:rsid w:val="00EE4E51"/>
    <w:rsid w:val="00EE558A"/>
    <w:rsid w:val="00F01A76"/>
    <w:rsid w:val="00F3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A7B1C-FA4D-4E58-8644-6435AE5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A2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0BF"/>
    <w:rPr>
      <w:sz w:val="20"/>
      <w:szCs w:val="20"/>
    </w:rPr>
  </w:style>
  <w:style w:type="character" w:styleId="FootnoteReference">
    <w:name w:val="footnote reference"/>
    <w:basedOn w:val="DefaultParagraphFont"/>
    <w:uiPriority w:val="99"/>
    <w:semiHidden/>
    <w:unhideWhenUsed/>
    <w:rsid w:val="001A20BF"/>
    <w:rPr>
      <w:vertAlign w:val="superscript"/>
    </w:rPr>
  </w:style>
  <w:style w:type="paragraph" w:styleId="ListParagraph">
    <w:name w:val="List Paragraph"/>
    <w:basedOn w:val="Normal"/>
    <w:uiPriority w:val="34"/>
    <w:qFormat/>
    <w:rsid w:val="0088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 Prol</dc:creator>
  <cp:lastModifiedBy>Tim J. Prol</cp:lastModifiedBy>
  <cp:revision>129</cp:revision>
  <dcterms:created xsi:type="dcterms:W3CDTF">2018-02-08T14:46:00Z</dcterms:created>
  <dcterms:modified xsi:type="dcterms:W3CDTF">2018-02-13T21:51:00Z</dcterms:modified>
</cp:coreProperties>
</file>