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2A" w:rsidRPr="00431C2A" w:rsidRDefault="00431C2A" w:rsidP="00431C2A">
      <w:pPr>
        <w:rPr>
          <w:rFonts w:ascii="Times New Roman" w:hAnsi="Times New Roman" w:cs="Times New Roman"/>
          <w:b/>
          <w:sz w:val="24"/>
          <w:szCs w:val="24"/>
        </w:rPr>
      </w:pPr>
      <w:r w:rsidRPr="00431C2A">
        <w:rPr>
          <w:rFonts w:ascii="Times New Roman" w:hAnsi="Times New Roman" w:cs="Times New Roman"/>
          <w:b/>
          <w:sz w:val="24"/>
          <w:szCs w:val="24"/>
        </w:rPr>
        <w:t>To:</w:t>
      </w:r>
      <w:r w:rsidRPr="00431C2A">
        <w:rPr>
          <w:rFonts w:ascii="Times New Roman" w:hAnsi="Times New Roman" w:cs="Times New Roman"/>
          <w:b/>
          <w:sz w:val="24"/>
          <w:szCs w:val="24"/>
        </w:rPr>
        <w:tab/>
      </w:r>
      <w:r w:rsidR="00427D62">
        <w:rPr>
          <w:rFonts w:ascii="Times New Roman" w:hAnsi="Times New Roman" w:cs="Times New Roman"/>
          <w:b/>
          <w:sz w:val="24"/>
          <w:szCs w:val="24"/>
        </w:rPr>
        <w:t>New Jersey Law Revision Commission</w:t>
      </w:r>
    </w:p>
    <w:p w:rsidR="00431C2A" w:rsidRPr="00431C2A" w:rsidRDefault="00431C2A" w:rsidP="00431C2A">
      <w:pPr>
        <w:rPr>
          <w:rFonts w:ascii="Times New Roman" w:hAnsi="Times New Roman" w:cs="Times New Roman"/>
          <w:b/>
          <w:sz w:val="24"/>
          <w:szCs w:val="24"/>
        </w:rPr>
      </w:pPr>
      <w:r w:rsidRPr="00431C2A">
        <w:rPr>
          <w:rFonts w:ascii="Times New Roman" w:hAnsi="Times New Roman" w:cs="Times New Roman"/>
          <w:b/>
          <w:sz w:val="24"/>
          <w:szCs w:val="24"/>
        </w:rPr>
        <w:t>From:</w:t>
      </w:r>
      <w:r w:rsidRPr="00431C2A">
        <w:rPr>
          <w:rFonts w:ascii="Times New Roman" w:hAnsi="Times New Roman" w:cs="Times New Roman"/>
          <w:b/>
          <w:sz w:val="24"/>
          <w:szCs w:val="24"/>
        </w:rPr>
        <w:tab/>
      </w:r>
      <w:r w:rsidR="000F0BAF">
        <w:rPr>
          <w:rFonts w:ascii="Times New Roman" w:hAnsi="Times New Roman" w:cs="Times New Roman"/>
          <w:b/>
          <w:sz w:val="24"/>
          <w:szCs w:val="24"/>
        </w:rPr>
        <w:t>Wendy Llewellyn</w:t>
      </w:r>
    </w:p>
    <w:p w:rsidR="00431C2A" w:rsidRPr="00431C2A" w:rsidRDefault="00431C2A" w:rsidP="00964C69">
      <w:pPr>
        <w:rPr>
          <w:rFonts w:ascii="Times New Roman" w:hAnsi="Times New Roman" w:cs="Times New Roman"/>
          <w:b/>
          <w:i/>
          <w:sz w:val="24"/>
          <w:szCs w:val="24"/>
        </w:rPr>
      </w:pPr>
      <w:r w:rsidRPr="00431C2A">
        <w:rPr>
          <w:rFonts w:ascii="Times New Roman" w:hAnsi="Times New Roman" w:cs="Times New Roman"/>
          <w:b/>
          <w:sz w:val="24"/>
          <w:szCs w:val="24"/>
        </w:rPr>
        <w:t>Re:</w:t>
      </w:r>
      <w:r w:rsidRPr="00431C2A">
        <w:rPr>
          <w:rFonts w:ascii="Times New Roman" w:hAnsi="Times New Roman" w:cs="Times New Roman"/>
          <w:b/>
          <w:sz w:val="24"/>
          <w:szCs w:val="24"/>
        </w:rPr>
        <w:tab/>
      </w:r>
      <w:r w:rsidR="0020471B">
        <w:rPr>
          <w:rFonts w:ascii="Times New Roman" w:hAnsi="Times New Roman" w:cs="Times New Roman"/>
          <w:b/>
          <w:sz w:val="24"/>
          <w:szCs w:val="24"/>
        </w:rPr>
        <w:t xml:space="preserve">De Minimus Quantity Exemption - </w:t>
      </w:r>
      <w:r w:rsidR="00DC0346">
        <w:rPr>
          <w:rFonts w:ascii="Times New Roman" w:hAnsi="Times New Roman" w:cs="Times New Roman"/>
          <w:b/>
          <w:i/>
          <w:sz w:val="24"/>
          <w:szCs w:val="24"/>
        </w:rPr>
        <w:t>R &amp; K Assoc., LLC v. N.J.</w:t>
      </w:r>
      <w:r w:rsidR="00014F21" w:rsidRPr="00014F21">
        <w:rPr>
          <w:rFonts w:ascii="Times New Roman" w:hAnsi="Times New Roman" w:cs="Times New Roman"/>
          <w:b/>
          <w:i/>
          <w:sz w:val="24"/>
          <w:szCs w:val="24"/>
        </w:rPr>
        <w:t xml:space="preserve"> Dep't of Envtl. Prot.</w:t>
      </w:r>
      <w:r w:rsidR="00014F21" w:rsidRPr="00014F21">
        <w:rPr>
          <w:rFonts w:ascii="Times New Roman" w:hAnsi="Times New Roman" w:cs="Times New Roman"/>
          <w:b/>
          <w:sz w:val="24"/>
          <w:szCs w:val="24"/>
        </w:rPr>
        <w:t xml:space="preserve">, </w:t>
      </w:r>
      <w:r w:rsidR="00014F21">
        <w:rPr>
          <w:rFonts w:ascii="Times New Roman" w:hAnsi="Times New Roman" w:cs="Times New Roman"/>
          <w:b/>
          <w:sz w:val="24"/>
          <w:szCs w:val="24"/>
        </w:rPr>
        <w:t>and</w:t>
      </w:r>
      <w:r w:rsidR="00964C69">
        <w:rPr>
          <w:rFonts w:ascii="Times New Roman" w:hAnsi="Times New Roman" w:cs="Times New Roman"/>
          <w:b/>
          <w:sz w:val="24"/>
          <w:szCs w:val="24"/>
        </w:rPr>
        <w:t xml:space="preserve"> </w:t>
      </w:r>
      <w:r w:rsidR="00427D62" w:rsidRPr="00427D62">
        <w:rPr>
          <w:rFonts w:ascii="Times New Roman" w:hAnsi="Times New Roman" w:cs="Times New Roman"/>
          <w:b/>
          <w:sz w:val="24"/>
          <w:szCs w:val="24"/>
        </w:rPr>
        <w:t>N.J.S.</w:t>
      </w:r>
      <w:r w:rsidR="003D6778">
        <w:rPr>
          <w:rFonts w:ascii="Times New Roman" w:hAnsi="Times New Roman" w:cs="Times New Roman"/>
          <w:b/>
          <w:sz w:val="24"/>
          <w:szCs w:val="24"/>
        </w:rPr>
        <w:t xml:space="preserve"> 13:1K-8, </w:t>
      </w:r>
      <w:r w:rsidR="00427D62" w:rsidRPr="00427D62">
        <w:rPr>
          <w:rFonts w:ascii="Times New Roman" w:hAnsi="Times New Roman" w:cs="Times New Roman"/>
          <w:b/>
          <w:sz w:val="24"/>
          <w:szCs w:val="24"/>
        </w:rPr>
        <w:t>N.J.S.</w:t>
      </w:r>
      <w:r w:rsidR="003D6778">
        <w:rPr>
          <w:rFonts w:ascii="Times New Roman" w:hAnsi="Times New Roman" w:cs="Times New Roman"/>
          <w:b/>
          <w:sz w:val="24"/>
          <w:szCs w:val="24"/>
        </w:rPr>
        <w:t xml:space="preserve"> 13:1K-9,</w:t>
      </w:r>
      <w:r w:rsidR="00014F21">
        <w:rPr>
          <w:rFonts w:ascii="Times New Roman" w:hAnsi="Times New Roman" w:cs="Times New Roman"/>
          <w:b/>
          <w:sz w:val="24"/>
          <w:szCs w:val="24"/>
        </w:rPr>
        <w:t xml:space="preserve"> and </w:t>
      </w:r>
      <w:r w:rsidR="00427D62" w:rsidRPr="00427D62">
        <w:rPr>
          <w:rFonts w:ascii="Times New Roman" w:hAnsi="Times New Roman" w:cs="Times New Roman"/>
          <w:b/>
          <w:sz w:val="24"/>
          <w:szCs w:val="24"/>
        </w:rPr>
        <w:t>N.J.S.</w:t>
      </w:r>
      <w:r w:rsidR="00014F21">
        <w:rPr>
          <w:rFonts w:ascii="Times New Roman" w:hAnsi="Times New Roman" w:cs="Times New Roman"/>
          <w:b/>
          <w:sz w:val="24"/>
          <w:szCs w:val="24"/>
        </w:rPr>
        <w:t xml:space="preserve"> 13:1K-9.7</w:t>
      </w:r>
    </w:p>
    <w:p w:rsidR="00431C2A" w:rsidRPr="00431C2A" w:rsidRDefault="00870FC7" w:rsidP="00431C2A">
      <w:pPr>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20471B">
        <w:rPr>
          <w:rFonts w:ascii="Times New Roman" w:hAnsi="Times New Roman" w:cs="Times New Roman"/>
          <w:b/>
          <w:sz w:val="24"/>
          <w:szCs w:val="24"/>
        </w:rPr>
        <w:t>July 9</w:t>
      </w:r>
      <w:r>
        <w:rPr>
          <w:rFonts w:ascii="Times New Roman" w:hAnsi="Times New Roman" w:cs="Times New Roman"/>
          <w:b/>
          <w:sz w:val="24"/>
          <w:szCs w:val="24"/>
        </w:rPr>
        <w:t>, 2018</w:t>
      </w:r>
    </w:p>
    <w:p w:rsidR="00431C2A" w:rsidRPr="00431C2A" w:rsidRDefault="00431C2A" w:rsidP="00431C2A">
      <w:pPr>
        <w:tabs>
          <w:tab w:val="left" w:pos="1945"/>
        </w:tabs>
        <w:rPr>
          <w:rFonts w:ascii="Times New Roman" w:hAnsi="Times New Roman" w:cs="Times New Roman"/>
          <w:b/>
          <w:sz w:val="24"/>
          <w:szCs w:val="24"/>
        </w:rPr>
      </w:pPr>
      <w:r w:rsidRPr="00431C2A">
        <w:rPr>
          <w:rFonts w:ascii="Times New Roman" w:hAnsi="Times New Roman" w:cs="Times New Roman"/>
          <w:b/>
          <w:sz w:val="24"/>
          <w:szCs w:val="24"/>
        </w:rPr>
        <w:tab/>
      </w:r>
    </w:p>
    <w:p w:rsidR="00431C2A" w:rsidRPr="00431C2A" w:rsidRDefault="00431C2A" w:rsidP="00431C2A">
      <w:pPr>
        <w:jc w:val="center"/>
        <w:rPr>
          <w:rFonts w:ascii="Times New Roman" w:hAnsi="Times New Roman" w:cs="Times New Roman"/>
          <w:b/>
          <w:sz w:val="24"/>
          <w:szCs w:val="24"/>
        </w:rPr>
      </w:pPr>
      <w:r w:rsidRPr="00431C2A">
        <w:rPr>
          <w:rFonts w:ascii="Times New Roman" w:hAnsi="Times New Roman" w:cs="Times New Roman"/>
          <w:b/>
          <w:sz w:val="24"/>
          <w:szCs w:val="24"/>
        </w:rPr>
        <w:t>M E M O R A N D U M</w:t>
      </w:r>
    </w:p>
    <w:p w:rsidR="00431C2A" w:rsidRPr="00431C2A" w:rsidRDefault="00431C2A" w:rsidP="00431C2A">
      <w:pPr>
        <w:jc w:val="center"/>
        <w:rPr>
          <w:rFonts w:ascii="Times New Roman" w:hAnsi="Times New Roman" w:cs="Times New Roman"/>
          <w:b/>
          <w:sz w:val="24"/>
          <w:szCs w:val="24"/>
        </w:rPr>
      </w:pPr>
    </w:p>
    <w:p w:rsidR="00431C2A" w:rsidRPr="00431C2A" w:rsidRDefault="00431C2A" w:rsidP="00431C2A">
      <w:pPr>
        <w:jc w:val="center"/>
        <w:rPr>
          <w:rFonts w:ascii="Times New Roman" w:hAnsi="Times New Roman" w:cs="Times New Roman"/>
          <w:b/>
          <w:sz w:val="24"/>
          <w:szCs w:val="24"/>
        </w:rPr>
      </w:pPr>
      <w:r w:rsidRPr="00431C2A">
        <w:rPr>
          <w:rFonts w:ascii="Times New Roman" w:hAnsi="Times New Roman" w:cs="Times New Roman"/>
          <w:b/>
          <w:sz w:val="24"/>
          <w:szCs w:val="24"/>
        </w:rPr>
        <w:t>Executive Summary</w:t>
      </w:r>
    </w:p>
    <w:p w:rsidR="00431C2A" w:rsidRDefault="00431C2A" w:rsidP="00431C2A">
      <w:pPr>
        <w:jc w:val="center"/>
        <w:rPr>
          <w:rFonts w:ascii="Times New Roman" w:hAnsi="Times New Roman" w:cs="Times New Roman"/>
          <w:sz w:val="24"/>
          <w:szCs w:val="24"/>
        </w:rPr>
      </w:pPr>
    </w:p>
    <w:p w:rsidR="00431C2A" w:rsidRDefault="00431C2A" w:rsidP="005C11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DA1864">
        <w:rPr>
          <w:rFonts w:ascii="Times New Roman" w:hAnsi="Times New Roman" w:cs="Times New Roman"/>
          <w:i/>
          <w:sz w:val="24"/>
          <w:szCs w:val="24"/>
        </w:rPr>
        <w:t>R &amp; K Associates</w:t>
      </w:r>
      <w:r>
        <w:rPr>
          <w:rFonts w:ascii="Times New Roman" w:hAnsi="Times New Roman" w:cs="Times New Roman"/>
          <w:sz w:val="24"/>
          <w:szCs w:val="24"/>
        </w:rPr>
        <w:t>,</w:t>
      </w:r>
      <w:r>
        <w:rPr>
          <w:rStyle w:val="FootnoteReference"/>
          <w:sz w:val="24"/>
          <w:szCs w:val="24"/>
        </w:rPr>
        <w:footnoteReference w:id="1"/>
      </w:r>
      <w:r>
        <w:rPr>
          <w:rFonts w:ascii="Times New Roman" w:hAnsi="Times New Roman" w:cs="Times New Roman"/>
          <w:i/>
          <w:sz w:val="24"/>
          <w:szCs w:val="24"/>
        </w:rPr>
        <w:t xml:space="preserve"> </w:t>
      </w:r>
      <w:r>
        <w:rPr>
          <w:rFonts w:ascii="Times New Roman" w:hAnsi="Times New Roman" w:cs="Times New Roman"/>
          <w:sz w:val="24"/>
          <w:szCs w:val="24"/>
        </w:rPr>
        <w:t xml:space="preserve">the </w:t>
      </w:r>
      <w:r w:rsidR="00DA1864">
        <w:rPr>
          <w:rFonts w:ascii="Times New Roman" w:hAnsi="Times New Roman" w:cs="Times New Roman"/>
          <w:sz w:val="24"/>
          <w:szCs w:val="24"/>
        </w:rPr>
        <w:t xml:space="preserve">Appellate Division considered whether </w:t>
      </w:r>
      <w:r w:rsidR="005A3AAC">
        <w:rPr>
          <w:rFonts w:ascii="Times New Roman" w:hAnsi="Times New Roman" w:cs="Times New Roman"/>
          <w:sz w:val="24"/>
          <w:szCs w:val="24"/>
        </w:rPr>
        <w:t>the</w:t>
      </w:r>
      <w:r w:rsidR="00ED0F64">
        <w:rPr>
          <w:rFonts w:ascii="Times New Roman" w:hAnsi="Times New Roman" w:cs="Times New Roman"/>
          <w:sz w:val="24"/>
          <w:szCs w:val="24"/>
        </w:rPr>
        <w:t xml:space="preserve"> former owner of a</w:t>
      </w:r>
      <w:r w:rsidR="000C2E35">
        <w:rPr>
          <w:rFonts w:ascii="Times New Roman" w:hAnsi="Times New Roman" w:cs="Times New Roman"/>
          <w:sz w:val="24"/>
          <w:szCs w:val="24"/>
        </w:rPr>
        <w:t xml:space="preserve"> property</w:t>
      </w:r>
      <w:r w:rsidR="006414B0">
        <w:rPr>
          <w:rFonts w:ascii="Times New Roman" w:hAnsi="Times New Roman" w:cs="Times New Roman"/>
          <w:sz w:val="24"/>
          <w:szCs w:val="24"/>
        </w:rPr>
        <w:t xml:space="preserve"> is per</w:t>
      </w:r>
      <w:r w:rsidR="00E74A30">
        <w:rPr>
          <w:rFonts w:ascii="Times New Roman" w:hAnsi="Times New Roman" w:cs="Times New Roman"/>
          <w:sz w:val="24"/>
          <w:szCs w:val="24"/>
        </w:rPr>
        <w:t>mitted to apply for a De Minimis Quantity E</w:t>
      </w:r>
      <w:r w:rsidR="006414B0">
        <w:rPr>
          <w:rFonts w:ascii="Times New Roman" w:hAnsi="Times New Roman" w:cs="Times New Roman"/>
          <w:sz w:val="24"/>
          <w:szCs w:val="24"/>
        </w:rPr>
        <w:t>xemption (DQE) from the I</w:t>
      </w:r>
      <w:r w:rsidR="000C2E35">
        <w:rPr>
          <w:rFonts w:ascii="Times New Roman" w:hAnsi="Times New Roman" w:cs="Times New Roman"/>
          <w:sz w:val="24"/>
          <w:szCs w:val="24"/>
        </w:rPr>
        <w:t>n</w:t>
      </w:r>
      <w:r w:rsidR="006414B0">
        <w:rPr>
          <w:rFonts w:ascii="Times New Roman" w:hAnsi="Times New Roman" w:cs="Times New Roman"/>
          <w:sz w:val="24"/>
          <w:szCs w:val="24"/>
        </w:rPr>
        <w:t>dustrial Site Recovery Act of</w:t>
      </w:r>
      <w:r w:rsidR="000C2E35">
        <w:rPr>
          <w:rFonts w:ascii="Times New Roman" w:hAnsi="Times New Roman" w:cs="Times New Roman"/>
          <w:sz w:val="24"/>
          <w:szCs w:val="24"/>
        </w:rPr>
        <w:t xml:space="preserve"> 1993 (ISRA), </w:t>
      </w:r>
      <w:r w:rsidR="00427D62" w:rsidRPr="00427D62">
        <w:rPr>
          <w:rFonts w:ascii="Times New Roman" w:hAnsi="Times New Roman" w:cs="Times New Roman"/>
          <w:sz w:val="24"/>
          <w:szCs w:val="24"/>
        </w:rPr>
        <w:t>N.J.S.</w:t>
      </w:r>
      <w:r w:rsidR="000C2E35">
        <w:rPr>
          <w:rFonts w:ascii="Times New Roman" w:hAnsi="Times New Roman" w:cs="Times New Roman"/>
          <w:sz w:val="24"/>
          <w:szCs w:val="24"/>
        </w:rPr>
        <w:t xml:space="preserve"> </w:t>
      </w:r>
      <w:r w:rsidR="00D6783B">
        <w:rPr>
          <w:rFonts w:ascii="Times New Roman" w:hAnsi="Times New Roman" w:cs="Times New Roman"/>
          <w:sz w:val="24"/>
          <w:szCs w:val="24"/>
        </w:rPr>
        <w:t xml:space="preserve">13:1K-6 to -14, </w:t>
      </w:r>
      <w:r w:rsidR="00152055">
        <w:rPr>
          <w:rFonts w:ascii="Times New Roman" w:hAnsi="Times New Roman" w:cs="Times New Roman"/>
          <w:sz w:val="24"/>
          <w:szCs w:val="24"/>
        </w:rPr>
        <w:t>even though</w:t>
      </w:r>
      <w:r w:rsidR="00D62913">
        <w:rPr>
          <w:rFonts w:ascii="Times New Roman" w:hAnsi="Times New Roman" w:cs="Times New Roman"/>
          <w:sz w:val="24"/>
          <w:szCs w:val="24"/>
        </w:rPr>
        <w:t xml:space="preserve"> the language in the statute </w:t>
      </w:r>
      <w:r w:rsidR="005A3AAC">
        <w:rPr>
          <w:rFonts w:ascii="Times New Roman" w:hAnsi="Times New Roman" w:cs="Times New Roman"/>
          <w:sz w:val="24"/>
          <w:szCs w:val="24"/>
        </w:rPr>
        <w:t>refers</w:t>
      </w:r>
      <w:r w:rsidR="0013497A">
        <w:rPr>
          <w:rFonts w:ascii="Times New Roman" w:hAnsi="Times New Roman" w:cs="Times New Roman"/>
          <w:sz w:val="24"/>
          <w:szCs w:val="24"/>
        </w:rPr>
        <w:t xml:space="preserve"> in the present tense</w:t>
      </w:r>
      <w:r w:rsidR="005A3AAC">
        <w:rPr>
          <w:rFonts w:ascii="Times New Roman" w:hAnsi="Times New Roman" w:cs="Times New Roman"/>
          <w:sz w:val="24"/>
          <w:szCs w:val="24"/>
        </w:rPr>
        <w:t xml:space="preserve"> to</w:t>
      </w:r>
      <w:r w:rsidR="00683B45">
        <w:rPr>
          <w:rFonts w:ascii="Times New Roman" w:hAnsi="Times New Roman" w:cs="Times New Roman"/>
          <w:sz w:val="24"/>
          <w:szCs w:val="24"/>
        </w:rPr>
        <w:t xml:space="preserve"> “the owner,” </w:t>
      </w:r>
      <w:r w:rsidR="005A3AAC">
        <w:rPr>
          <w:rFonts w:ascii="Times New Roman" w:hAnsi="Times New Roman" w:cs="Times New Roman"/>
          <w:sz w:val="24"/>
          <w:szCs w:val="24"/>
        </w:rPr>
        <w:t>i</w:t>
      </w:r>
      <w:r w:rsidR="0013497A">
        <w:rPr>
          <w:rFonts w:ascii="Times New Roman" w:hAnsi="Times New Roman" w:cs="Times New Roman"/>
          <w:sz w:val="24"/>
          <w:szCs w:val="24"/>
        </w:rPr>
        <w:t>ndicating</w:t>
      </w:r>
      <w:r w:rsidR="005A3AAC">
        <w:rPr>
          <w:rFonts w:ascii="Times New Roman" w:hAnsi="Times New Roman" w:cs="Times New Roman"/>
          <w:sz w:val="24"/>
          <w:szCs w:val="24"/>
        </w:rPr>
        <w:t xml:space="preserve"> that it is meant</w:t>
      </w:r>
      <w:r w:rsidR="00683B45">
        <w:rPr>
          <w:rFonts w:ascii="Times New Roman" w:hAnsi="Times New Roman" w:cs="Times New Roman"/>
          <w:sz w:val="24"/>
          <w:szCs w:val="24"/>
        </w:rPr>
        <w:t xml:space="preserve"> to </w:t>
      </w:r>
      <w:r w:rsidR="005A3AAC">
        <w:rPr>
          <w:rFonts w:ascii="Times New Roman" w:hAnsi="Times New Roman" w:cs="Times New Roman"/>
          <w:sz w:val="24"/>
          <w:szCs w:val="24"/>
        </w:rPr>
        <w:t>apply</w:t>
      </w:r>
      <w:r w:rsidR="0013497A">
        <w:rPr>
          <w:rFonts w:ascii="Times New Roman" w:hAnsi="Times New Roman" w:cs="Times New Roman"/>
          <w:sz w:val="24"/>
          <w:szCs w:val="24"/>
        </w:rPr>
        <w:t xml:space="preserve"> only</w:t>
      </w:r>
      <w:r w:rsidR="005A3AAC">
        <w:rPr>
          <w:rFonts w:ascii="Times New Roman" w:hAnsi="Times New Roman" w:cs="Times New Roman"/>
          <w:sz w:val="24"/>
          <w:szCs w:val="24"/>
        </w:rPr>
        <w:t xml:space="preserve"> to </w:t>
      </w:r>
      <w:r w:rsidR="00683B45">
        <w:rPr>
          <w:rFonts w:ascii="Times New Roman" w:hAnsi="Times New Roman" w:cs="Times New Roman"/>
          <w:sz w:val="24"/>
          <w:szCs w:val="24"/>
        </w:rPr>
        <w:t>current owners.</w:t>
      </w:r>
      <w:r w:rsidR="00D62913">
        <w:rPr>
          <w:rStyle w:val="FootnoteReference"/>
          <w:rFonts w:cs="Times New Roman"/>
          <w:sz w:val="24"/>
          <w:szCs w:val="24"/>
        </w:rPr>
        <w:footnoteReference w:id="2"/>
      </w:r>
    </w:p>
    <w:p w:rsidR="00431C2A" w:rsidRDefault="00431C2A" w:rsidP="005C111F">
      <w:pPr>
        <w:spacing w:line="276" w:lineRule="auto"/>
        <w:ind w:firstLine="720"/>
        <w:jc w:val="both"/>
        <w:rPr>
          <w:rFonts w:ascii="Times New Roman" w:hAnsi="Times New Roman" w:cs="Times New Roman"/>
          <w:sz w:val="24"/>
          <w:szCs w:val="24"/>
        </w:rPr>
      </w:pPr>
    </w:p>
    <w:p w:rsidR="00431C2A" w:rsidRDefault="00D62913" w:rsidP="005C11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court determined that “the definition of ‘</w:t>
      </w:r>
      <w:r w:rsidR="008F07A4">
        <w:rPr>
          <w:rFonts w:ascii="Times New Roman" w:hAnsi="Times New Roman" w:cs="Times New Roman"/>
          <w:sz w:val="24"/>
          <w:szCs w:val="24"/>
        </w:rPr>
        <w:t>owner,’</w:t>
      </w:r>
      <w:r w:rsidR="00525C61">
        <w:rPr>
          <w:rFonts w:ascii="Times New Roman" w:hAnsi="Times New Roman" w:cs="Times New Roman"/>
          <w:sz w:val="24"/>
          <w:szCs w:val="24"/>
        </w:rPr>
        <w:t xml:space="preserve"> as it appears in </w:t>
      </w:r>
      <w:r w:rsidR="00427D62" w:rsidRPr="00427D62">
        <w:rPr>
          <w:rFonts w:ascii="Times New Roman" w:hAnsi="Times New Roman" w:cs="Times New Roman"/>
          <w:sz w:val="24"/>
          <w:szCs w:val="24"/>
        </w:rPr>
        <w:t>N.J.S.[]</w:t>
      </w:r>
      <w:r w:rsidR="00525C61">
        <w:rPr>
          <w:rFonts w:ascii="Times New Roman" w:hAnsi="Times New Roman" w:cs="Times New Roman"/>
          <w:sz w:val="24"/>
          <w:szCs w:val="24"/>
        </w:rPr>
        <w:t xml:space="preserve"> 13:1K-9 and </w:t>
      </w:r>
      <w:r w:rsidR="00427D62" w:rsidRPr="00427D62">
        <w:rPr>
          <w:rFonts w:ascii="Times New Roman" w:hAnsi="Times New Roman" w:cs="Times New Roman"/>
          <w:sz w:val="24"/>
          <w:szCs w:val="24"/>
        </w:rPr>
        <w:t>N.J.S.[]</w:t>
      </w:r>
      <w:r>
        <w:rPr>
          <w:rFonts w:ascii="Times New Roman" w:hAnsi="Times New Roman" w:cs="Times New Roman"/>
          <w:sz w:val="24"/>
          <w:szCs w:val="24"/>
        </w:rPr>
        <w:t xml:space="preserve"> 13:</w:t>
      </w:r>
      <w:r w:rsidR="00EF6CBF">
        <w:rPr>
          <w:rFonts w:ascii="Times New Roman" w:hAnsi="Times New Roman" w:cs="Times New Roman"/>
          <w:sz w:val="24"/>
          <w:szCs w:val="24"/>
        </w:rPr>
        <w:t>1K-9.7, logically should be read to include former owners,”</w:t>
      </w:r>
      <w:r w:rsidR="00431C2A">
        <w:rPr>
          <w:rStyle w:val="FootnoteReference"/>
          <w:sz w:val="24"/>
          <w:szCs w:val="24"/>
        </w:rPr>
        <w:footnoteReference w:id="3"/>
      </w:r>
      <w:r w:rsidR="00EF6CBF">
        <w:rPr>
          <w:rFonts w:ascii="Times New Roman" w:hAnsi="Times New Roman" w:cs="Times New Roman"/>
          <w:sz w:val="24"/>
          <w:szCs w:val="24"/>
        </w:rPr>
        <w:t xml:space="preserve"> and that </w:t>
      </w:r>
      <w:r w:rsidR="001C43AE">
        <w:rPr>
          <w:rFonts w:ascii="Times New Roman" w:hAnsi="Times New Roman" w:cs="Times New Roman"/>
          <w:sz w:val="24"/>
          <w:szCs w:val="24"/>
        </w:rPr>
        <w:t>appellant/cross-respondent Des Champs</w:t>
      </w:r>
      <w:r w:rsidR="00EF6CBF">
        <w:rPr>
          <w:rFonts w:ascii="Times New Roman" w:hAnsi="Times New Roman" w:cs="Times New Roman"/>
          <w:sz w:val="24"/>
          <w:szCs w:val="24"/>
        </w:rPr>
        <w:t xml:space="preserve"> </w:t>
      </w:r>
      <w:r w:rsidR="001136A8">
        <w:rPr>
          <w:rFonts w:ascii="Times New Roman" w:hAnsi="Times New Roman" w:cs="Times New Roman"/>
          <w:sz w:val="24"/>
          <w:szCs w:val="24"/>
        </w:rPr>
        <w:t xml:space="preserve">Laboratories (Des Champs) </w:t>
      </w:r>
      <w:r w:rsidR="00EF6CBF">
        <w:rPr>
          <w:rFonts w:ascii="Times New Roman" w:hAnsi="Times New Roman" w:cs="Times New Roman"/>
          <w:sz w:val="24"/>
          <w:szCs w:val="24"/>
        </w:rPr>
        <w:t xml:space="preserve">therefore had standing to </w:t>
      </w:r>
      <w:r w:rsidR="009F1467">
        <w:rPr>
          <w:rFonts w:ascii="Times New Roman" w:hAnsi="Times New Roman" w:cs="Times New Roman"/>
          <w:sz w:val="24"/>
          <w:szCs w:val="24"/>
        </w:rPr>
        <w:t>obtain a DQE.</w:t>
      </w:r>
      <w:r w:rsidR="006C1899">
        <w:rPr>
          <w:rStyle w:val="FootnoteReference"/>
          <w:rFonts w:cs="Times New Roman"/>
          <w:sz w:val="24"/>
          <w:szCs w:val="24"/>
        </w:rPr>
        <w:footnoteReference w:id="4"/>
      </w:r>
      <w:r w:rsidR="001C43AE">
        <w:rPr>
          <w:rFonts w:ascii="Times New Roman" w:hAnsi="Times New Roman" w:cs="Times New Roman"/>
          <w:sz w:val="24"/>
          <w:szCs w:val="24"/>
        </w:rPr>
        <w:t xml:space="preserve">  </w:t>
      </w:r>
    </w:p>
    <w:p w:rsidR="00431C2A" w:rsidRDefault="00431C2A" w:rsidP="00431C2A">
      <w:pPr>
        <w:spacing w:line="276" w:lineRule="auto"/>
        <w:jc w:val="both"/>
        <w:rPr>
          <w:rFonts w:ascii="Times New Roman" w:hAnsi="Times New Roman" w:cs="Times New Roman"/>
          <w:sz w:val="24"/>
          <w:szCs w:val="24"/>
        </w:rPr>
      </w:pPr>
    </w:p>
    <w:p w:rsidR="00431C2A" w:rsidRPr="00431C2A" w:rsidRDefault="00431C2A" w:rsidP="00431C2A">
      <w:pPr>
        <w:spacing w:line="276" w:lineRule="auto"/>
        <w:jc w:val="center"/>
        <w:rPr>
          <w:rFonts w:ascii="Times New Roman" w:hAnsi="Times New Roman" w:cs="Times New Roman"/>
          <w:b/>
          <w:sz w:val="24"/>
          <w:szCs w:val="24"/>
        </w:rPr>
      </w:pPr>
      <w:r w:rsidRPr="00431C2A">
        <w:rPr>
          <w:rFonts w:ascii="Times New Roman" w:hAnsi="Times New Roman" w:cs="Times New Roman"/>
          <w:b/>
          <w:sz w:val="24"/>
          <w:szCs w:val="24"/>
        </w:rPr>
        <w:t>Background</w:t>
      </w:r>
    </w:p>
    <w:p w:rsidR="00431C2A" w:rsidRDefault="00431C2A" w:rsidP="00431C2A">
      <w:pPr>
        <w:spacing w:line="276" w:lineRule="auto"/>
        <w:jc w:val="center"/>
        <w:rPr>
          <w:rFonts w:ascii="Times New Roman" w:hAnsi="Times New Roman" w:cs="Times New Roman"/>
          <w:sz w:val="24"/>
          <w:szCs w:val="24"/>
        </w:rPr>
      </w:pPr>
    </w:p>
    <w:p w:rsidR="00431C2A" w:rsidRDefault="000179BD" w:rsidP="00427D6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some time through 1990, </w:t>
      </w:r>
      <w:r w:rsidR="001136A8">
        <w:rPr>
          <w:rFonts w:ascii="Times New Roman" w:hAnsi="Times New Roman" w:cs="Times New Roman"/>
          <w:sz w:val="24"/>
          <w:szCs w:val="24"/>
        </w:rPr>
        <w:t xml:space="preserve">Des Champs owned and operated </w:t>
      </w:r>
      <w:r>
        <w:rPr>
          <w:rFonts w:ascii="Times New Roman" w:hAnsi="Times New Roman" w:cs="Times New Roman"/>
          <w:sz w:val="24"/>
          <w:szCs w:val="24"/>
        </w:rPr>
        <w:t>a site at which it used chemicals, including hydraulic oil and spray paint.</w:t>
      </w:r>
      <w:r>
        <w:rPr>
          <w:rStyle w:val="FootnoteReference"/>
          <w:rFonts w:cs="Times New Roman"/>
          <w:sz w:val="24"/>
          <w:szCs w:val="24"/>
        </w:rPr>
        <w:footnoteReference w:id="5"/>
      </w:r>
      <w:r>
        <w:rPr>
          <w:rFonts w:ascii="Times New Roman" w:hAnsi="Times New Roman" w:cs="Times New Roman"/>
          <w:sz w:val="24"/>
          <w:szCs w:val="24"/>
        </w:rPr>
        <w:t xml:space="preserve"> After 1990, Des Champs ceased operations and used the </w:t>
      </w:r>
      <w:bookmarkStart w:id="0" w:name="_GoBack"/>
      <w:bookmarkEnd w:id="0"/>
      <w:r>
        <w:rPr>
          <w:rFonts w:ascii="Times New Roman" w:hAnsi="Times New Roman" w:cs="Times New Roman"/>
          <w:sz w:val="24"/>
          <w:szCs w:val="24"/>
        </w:rPr>
        <w:t xml:space="preserve">site for storage, </w:t>
      </w:r>
      <w:r w:rsidR="009C7D11">
        <w:rPr>
          <w:rFonts w:ascii="Times New Roman" w:hAnsi="Times New Roman" w:cs="Times New Roman"/>
          <w:sz w:val="24"/>
          <w:szCs w:val="24"/>
        </w:rPr>
        <w:t>and also leased</w:t>
      </w:r>
      <w:r w:rsidR="0098544D">
        <w:rPr>
          <w:rFonts w:ascii="Times New Roman" w:hAnsi="Times New Roman" w:cs="Times New Roman"/>
          <w:sz w:val="24"/>
          <w:szCs w:val="24"/>
        </w:rPr>
        <w:t xml:space="preserve"> the site for a time</w:t>
      </w:r>
      <w:r>
        <w:rPr>
          <w:rFonts w:ascii="Times New Roman" w:hAnsi="Times New Roman" w:cs="Times New Roman"/>
          <w:sz w:val="24"/>
          <w:szCs w:val="24"/>
        </w:rPr>
        <w:t xml:space="preserve"> to a realty company </w:t>
      </w:r>
      <w:r w:rsidR="009C7D11">
        <w:rPr>
          <w:rFonts w:ascii="Times New Roman" w:hAnsi="Times New Roman" w:cs="Times New Roman"/>
          <w:sz w:val="24"/>
          <w:szCs w:val="24"/>
        </w:rPr>
        <w:t>for storage of</w:t>
      </w:r>
      <w:r>
        <w:rPr>
          <w:rFonts w:ascii="Times New Roman" w:hAnsi="Times New Roman" w:cs="Times New Roman"/>
          <w:sz w:val="24"/>
          <w:szCs w:val="24"/>
        </w:rPr>
        <w:t xml:space="preserve"> furniture and signs.</w:t>
      </w:r>
      <w:r>
        <w:rPr>
          <w:rStyle w:val="FootnoteReference"/>
          <w:rFonts w:cs="Times New Roman"/>
          <w:sz w:val="24"/>
          <w:szCs w:val="24"/>
        </w:rPr>
        <w:footnoteReference w:id="6"/>
      </w:r>
      <w:r w:rsidR="006327FC">
        <w:rPr>
          <w:rFonts w:ascii="Times New Roman" w:hAnsi="Times New Roman" w:cs="Times New Roman"/>
          <w:sz w:val="24"/>
          <w:szCs w:val="24"/>
        </w:rPr>
        <w:t xml:space="preserve"> Before selling the site to plaintiff R</w:t>
      </w:r>
      <w:r w:rsidR="00683B45">
        <w:rPr>
          <w:rFonts w:ascii="Times New Roman" w:hAnsi="Times New Roman" w:cs="Times New Roman"/>
          <w:sz w:val="24"/>
          <w:szCs w:val="24"/>
        </w:rPr>
        <w:t xml:space="preserve"> </w:t>
      </w:r>
      <w:r w:rsidR="006327FC">
        <w:rPr>
          <w:rFonts w:ascii="Times New Roman" w:hAnsi="Times New Roman" w:cs="Times New Roman"/>
          <w:sz w:val="24"/>
          <w:szCs w:val="24"/>
        </w:rPr>
        <w:t>&amp;</w:t>
      </w:r>
      <w:r w:rsidR="00683B45">
        <w:rPr>
          <w:rFonts w:ascii="Times New Roman" w:hAnsi="Times New Roman" w:cs="Times New Roman"/>
          <w:sz w:val="24"/>
          <w:szCs w:val="24"/>
        </w:rPr>
        <w:t xml:space="preserve"> </w:t>
      </w:r>
      <w:r w:rsidR="006327FC">
        <w:rPr>
          <w:rFonts w:ascii="Times New Roman" w:hAnsi="Times New Roman" w:cs="Times New Roman"/>
          <w:sz w:val="24"/>
          <w:szCs w:val="24"/>
        </w:rPr>
        <w:t>K Associates, Inc. (R &amp; K) in 1997, Des Champs hired a consultant to prepare a Preliminary Assessment Report (PAR) to submit to the Department of Environmental Protection (DEP).</w:t>
      </w:r>
      <w:r w:rsidR="006327FC">
        <w:rPr>
          <w:rStyle w:val="FootnoteReference"/>
          <w:rFonts w:cs="Times New Roman"/>
          <w:sz w:val="24"/>
          <w:szCs w:val="24"/>
        </w:rPr>
        <w:footnoteReference w:id="7"/>
      </w:r>
      <w:r w:rsidR="0013497A">
        <w:rPr>
          <w:rFonts w:ascii="Times New Roman" w:hAnsi="Times New Roman" w:cs="Times New Roman"/>
          <w:sz w:val="24"/>
          <w:szCs w:val="24"/>
        </w:rPr>
        <w:t xml:space="preserve"> </w:t>
      </w:r>
      <w:r w:rsidR="006F7CA2">
        <w:rPr>
          <w:rFonts w:ascii="Times New Roman" w:hAnsi="Times New Roman" w:cs="Times New Roman"/>
          <w:sz w:val="24"/>
          <w:szCs w:val="24"/>
        </w:rPr>
        <w:t>The DEP responded that no further investigation</w:t>
      </w:r>
      <w:r w:rsidR="009C7D11">
        <w:rPr>
          <w:rFonts w:ascii="Times New Roman" w:hAnsi="Times New Roman" w:cs="Times New Roman"/>
          <w:sz w:val="24"/>
          <w:szCs w:val="24"/>
        </w:rPr>
        <w:t xml:space="preserve"> was necessary at the time, and </w:t>
      </w:r>
      <w:r w:rsidR="009B00E2">
        <w:rPr>
          <w:rFonts w:ascii="Times New Roman" w:hAnsi="Times New Roman" w:cs="Times New Roman"/>
          <w:sz w:val="24"/>
          <w:szCs w:val="24"/>
        </w:rPr>
        <w:t>directed</w:t>
      </w:r>
      <w:r w:rsidR="006F7CA2">
        <w:rPr>
          <w:rFonts w:ascii="Times New Roman" w:hAnsi="Times New Roman" w:cs="Times New Roman"/>
          <w:sz w:val="24"/>
          <w:szCs w:val="24"/>
        </w:rPr>
        <w:t xml:space="preserve"> Des Champs to file a Negative Declaration Af</w:t>
      </w:r>
      <w:r w:rsidR="009C7D11">
        <w:rPr>
          <w:rFonts w:ascii="Times New Roman" w:hAnsi="Times New Roman" w:cs="Times New Roman"/>
          <w:sz w:val="24"/>
          <w:szCs w:val="24"/>
        </w:rPr>
        <w:t>fidavit (NDA) to close the case.</w:t>
      </w:r>
      <w:r w:rsidR="009C7D11">
        <w:rPr>
          <w:rStyle w:val="FootnoteReference"/>
          <w:rFonts w:cs="Times New Roman"/>
          <w:sz w:val="24"/>
          <w:szCs w:val="24"/>
        </w:rPr>
        <w:footnoteReference w:id="8"/>
      </w:r>
      <w:r w:rsidR="0013497A">
        <w:rPr>
          <w:rFonts w:ascii="Times New Roman" w:hAnsi="Times New Roman" w:cs="Times New Roman"/>
          <w:sz w:val="24"/>
          <w:szCs w:val="24"/>
        </w:rPr>
        <w:t xml:space="preserve"> </w:t>
      </w:r>
      <w:r w:rsidR="009C7D11">
        <w:rPr>
          <w:rFonts w:ascii="Times New Roman" w:hAnsi="Times New Roman" w:cs="Times New Roman"/>
          <w:sz w:val="24"/>
          <w:szCs w:val="24"/>
        </w:rPr>
        <w:t>Des Champs</w:t>
      </w:r>
      <w:r w:rsidR="006F7CA2">
        <w:rPr>
          <w:rFonts w:ascii="Times New Roman" w:hAnsi="Times New Roman" w:cs="Times New Roman"/>
          <w:sz w:val="24"/>
          <w:szCs w:val="24"/>
        </w:rPr>
        <w:t xml:space="preserve"> </w:t>
      </w:r>
      <w:r w:rsidR="009C7D11">
        <w:rPr>
          <w:rFonts w:ascii="Times New Roman" w:hAnsi="Times New Roman" w:cs="Times New Roman"/>
          <w:sz w:val="24"/>
          <w:szCs w:val="24"/>
        </w:rPr>
        <w:t>filed the NDA</w:t>
      </w:r>
      <w:r w:rsidR="006F7CA2">
        <w:rPr>
          <w:rFonts w:ascii="Times New Roman" w:hAnsi="Times New Roman" w:cs="Times New Roman"/>
          <w:sz w:val="24"/>
          <w:szCs w:val="24"/>
        </w:rPr>
        <w:t xml:space="preserve"> in J</w:t>
      </w:r>
      <w:r w:rsidR="009B00E2">
        <w:rPr>
          <w:rFonts w:ascii="Times New Roman" w:hAnsi="Times New Roman" w:cs="Times New Roman"/>
          <w:sz w:val="24"/>
          <w:szCs w:val="24"/>
        </w:rPr>
        <w:t>anuary of 1997, after which it</w:t>
      </w:r>
      <w:r w:rsidR="006F7CA2">
        <w:rPr>
          <w:rFonts w:ascii="Times New Roman" w:hAnsi="Times New Roman" w:cs="Times New Roman"/>
          <w:sz w:val="24"/>
          <w:szCs w:val="24"/>
        </w:rPr>
        <w:t xml:space="preserve"> received a “no further action” letter (NFA).</w:t>
      </w:r>
      <w:r w:rsidR="000852FF">
        <w:rPr>
          <w:rStyle w:val="FootnoteReference"/>
          <w:rFonts w:cs="Times New Roman"/>
          <w:sz w:val="24"/>
          <w:szCs w:val="24"/>
        </w:rPr>
        <w:footnoteReference w:id="9"/>
      </w:r>
    </w:p>
    <w:p w:rsidR="005F3A2E" w:rsidRDefault="005F3A2E" w:rsidP="00427D62">
      <w:pPr>
        <w:spacing w:line="276" w:lineRule="auto"/>
        <w:ind w:firstLine="720"/>
        <w:jc w:val="both"/>
        <w:rPr>
          <w:rFonts w:ascii="Times New Roman" w:hAnsi="Times New Roman" w:cs="Times New Roman"/>
          <w:sz w:val="24"/>
          <w:szCs w:val="24"/>
        </w:rPr>
      </w:pPr>
    </w:p>
    <w:p w:rsidR="007F3496" w:rsidRDefault="007F3496" w:rsidP="00427D6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years after the September 1997 sale of the property from Des Champs to R &amp; K, in October of 2005, it was discovered that contamination from the property was the source of </w:t>
      </w:r>
      <w:r>
        <w:rPr>
          <w:rFonts w:ascii="Times New Roman" w:hAnsi="Times New Roman" w:cs="Times New Roman"/>
          <w:sz w:val="24"/>
          <w:szCs w:val="24"/>
        </w:rPr>
        <w:lastRenderedPageBreak/>
        <w:t>contaminated ground water in Livingston Township drinking wells, and</w:t>
      </w:r>
      <w:r w:rsidR="00745DEF">
        <w:rPr>
          <w:rFonts w:ascii="Times New Roman" w:hAnsi="Times New Roman" w:cs="Times New Roman"/>
          <w:sz w:val="24"/>
          <w:szCs w:val="24"/>
        </w:rPr>
        <w:t xml:space="preserve">, as a result, </w:t>
      </w:r>
      <w:r>
        <w:rPr>
          <w:rFonts w:ascii="Times New Roman" w:hAnsi="Times New Roman" w:cs="Times New Roman"/>
          <w:sz w:val="24"/>
          <w:szCs w:val="24"/>
        </w:rPr>
        <w:t xml:space="preserve">in 2008 the </w:t>
      </w:r>
      <w:r w:rsidR="00745DEF">
        <w:rPr>
          <w:rFonts w:ascii="Times New Roman" w:hAnsi="Times New Roman" w:cs="Times New Roman"/>
          <w:sz w:val="24"/>
          <w:szCs w:val="24"/>
        </w:rPr>
        <w:t xml:space="preserve">DEP </w:t>
      </w:r>
      <w:r>
        <w:rPr>
          <w:rFonts w:ascii="Times New Roman" w:hAnsi="Times New Roman" w:cs="Times New Roman"/>
          <w:sz w:val="24"/>
          <w:szCs w:val="24"/>
        </w:rPr>
        <w:t>revoked the NFA approval it had previously granted Des Champs.</w:t>
      </w:r>
      <w:r w:rsidR="00745DEF">
        <w:rPr>
          <w:rStyle w:val="FootnoteReference"/>
          <w:rFonts w:cs="Times New Roman"/>
          <w:sz w:val="24"/>
          <w:szCs w:val="24"/>
        </w:rPr>
        <w:footnoteReference w:id="10"/>
      </w:r>
      <w:r w:rsidR="0013497A">
        <w:rPr>
          <w:rFonts w:ascii="Times New Roman" w:hAnsi="Times New Roman" w:cs="Times New Roman"/>
          <w:sz w:val="24"/>
          <w:szCs w:val="24"/>
        </w:rPr>
        <w:t xml:space="preserve"> </w:t>
      </w:r>
    </w:p>
    <w:p w:rsidR="0013497A" w:rsidRDefault="0013497A" w:rsidP="00427D62">
      <w:pPr>
        <w:spacing w:line="276" w:lineRule="auto"/>
        <w:ind w:firstLine="720"/>
        <w:jc w:val="both"/>
        <w:rPr>
          <w:rFonts w:ascii="Times New Roman" w:hAnsi="Times New Roman" w:cs="Times New Roman"/>
          <w:sz w:val="24"/>
          <w:szCs w:val="24"/>
        </w:rPr>
      </w:pPr>
    </w:p>
    <w:p w:rsidR="0084181B" w:rsidRDefault="0084181B" w:rsidP="00427D6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 Champs then submitted a </w:t>
      </w:r>
      <w:r w:rsidR="00067EBC">
        <w:rPr>
          <w:rFonts w:ascii="Times New Roman" w:hAnsi="Times New Roman" w:cs="Times New Roman"/>
          <w:sz w:val="24"/>
          <w:szCs w:val="24"/>
        </w:rPr>
        <w:t>DQE</w:t>
      </w:r>
      <w:r>
        <w:rPr>
          <w:rFonts w:ascii="Times New Roman" w:hAnsi="Times New Roman" w:cs="Times New Roman"/>
          <w:sz w:val="24"/>
          <w:szCs w:val="24"/>
        </w:rPr>
        <w:t xml:space="preserve"> certification to the DEP, asserting that while it had used various hazardous substances</w:t>
      </w:r>
      <w:r w:rsidR="00754388">
        <w:rPr>
          <w:rFonts w:ascii="Times New Roman" w:hAnsi="Times New Roman" w:cs="Times New Roman"/>
          <w:sz w:val="24"/>
          <w:szCs w:val="24"/>
        </w:rPr>
        <w:t xml:space="preserve"> while operating on the site</w:t>
      </w:r>
      <w:r>
        <w:rPr>
          <w:rFonts w:ascii="Times New Roman" w:hAnsi="Times New Roman" w:cs="Times New Roman"/>
          <w:sz w:val="24"/>
          <w:szCs w:val="24"/>
        </w:rPr>
        <w:t xml:space="preserve">, it was not in </w:t>
      </w:r>
      <w:r w:rsidR="000852FF">
        <w:rPr>
          <w:rFonts w:ascii="Times New Roman" w:hAnsi="Times New Roman" w:cs="Times New Roman"/>
          <w:sz w:val="24"/>
          <w:szCs w:val="24"/>
        </w:rPr>
        <w:t>quantities</w:t>
      </w:r>
      <w:r>
        <w:rPr>
          <w:rFonts w:ascii="Times New Roman" w:hAnsi="Times New Roman" w:cs="Times New Roman"/>
          <w:sz w:val="24"/>
          <w:szCs w:val="24"/>
        </w:rPr>
        <w:t xml:space="preserve"> that would disqualify it for a DQE.</w:t>
      </w:r>
      <w:r w:rsidR="000852FF">
        <w:rPr>
          <w:rStyle w:val="FootnoteReference"/>
          <w:rFonts w:cs="Times New Roman"/>
          <w:sz w:val="24"/>
          <w:szCs w:val="24"/>
        </w:rPr>
        <w:footnoteReference w:id="11"/>
      </w:r>
      <w:r w:rsidR="0013497A">
        <w:rPr>
          <w:rFonts w:ascii="Times New Roman" w:hAnsi="Times New Roman" w:cs="Times New Roman"/>
          <w:sz w:val="24"/>
          <w:szCs w:val="24"/>
        </w:rPr>
        <w:t xml:space="preserve"> </w:t>
      </w:r>
      <w:r w:rsidR="00BA621C">
        <w:rPr>
          <w:rFonts w:ascii="Times New Roman" w:hAnsi="Times New Roman" w:cs="Times New Roman"/>
          <w:sz w:val="24"/>
          <w:szCs w:val="24"/>
        </w:rPr>
        <w:t>After two rulings and two remands, the DEP refer</w:t>
      </w:r>
      <w:r w:rsidR="000852FF">
        <w:rPr>
          <w:rFonts w:ascii="Times New Roman" w:hAnsi="Times New Roman" w:cs="Times New Roman"/>
          <w:sz w:val="24"/>
          <w:szCs w:val="24"/>
        </w:rPr>
        <w:t>red the matter to an ALJ</w:t>
      </w:r>
      <w:r w:rsidR="00BA621C">
        <w:rPr>
          <w:rFonts w:ascii="Times New Roman" w:hAnsi="Times New Roman" w:cs="Times New Roman"/>
          <w:sz w:val="24"/>
          <w:szCs w:val="24"/>
        </w:rPr>
        <w:t>, who factually determined that Des Champs’ use and storage of hazardous materials on the site was minimal and under the regulatory thresholds, and that Des Champs would have qualified for a DQE if it had timely applied for one.</w:t>
      </w:r>
      <w:r w:rsidR="00BA621C">
        <w:rPr>
          <w:rStyle w:val="FootnoteReference"/>
          <w:rFonts w:cs="Times New Roman"/>
          <w:sz w:val="24"/>
          <w:szCs w:val="24"/>
        </w:rPr>
        <w:footnoteReference w:id="12"/>
      </w:r>
      <w:r w:rsidR="0013497A">
        <w:rPr>
          <w:rFonts w:ascii="Times New Roman" w:hAnsi="Times New Roman" w:cs="Times New Roman"/>
          <w:sz w:val="24"/>
          <w:szCs w:val="24"/>
        </w:rPr>
        <w:t xml:space="preserve"> </w:t>
      </w:r>
      <w:r w:rsidR="00A50E91">
        <w:rPr>
          <w:rFonts w:ascii="Times New Roman" w:hAnsi="Times New Roman" w:cs="Times New Roman"/>
          <w:sz w:val="24"/>
          <w:szCs w:val="24"/>
        </w:rPr>
        <w:t>The DEP Commissioner, however, while recognizing that former owners of property might have standing to obtain a DQE, decided that Des Champs was not entitled to a DQE due to the “unique facts” of this case, namely the long period of time that had passed</w:t>
      </w:r>
      <w:r w:rsidR="004C25DE">
        <w:rPr>
          <w:rFonts w:ascii="Times New Roman" w:hAnsi="Times New Roman" w:cs="Times New Roman"/>
          <w:sz w:val="24"/>
          <w:szCs w:val="24"/>
        </w:rPr>
        <w:t xml:space="preserve"> and a lack of relevant records that could be central to the regulatory analysis</w:t>
      </w:r>
      <w:r w:rsidR="00A50E91">
        <w:rPr>
          <w:rFonts w:ascii="Times New Roman" w:hAnsi="Times New Roman" w:cs="Times New Roman"/>
          <w:sz w:val="24"/>
          <w:szCs w:val="24"/>
        </w:rPr>
        <w:t>.</w:t>
      </w:r>
      <w:r w:rsidR="00A50E91">
        <w:rPr>
          <w:rStyle w:val="FootnoteReference"/>
          <w:rFonts w:cs="Times New Roman"/>
          <w:sz w:val="24"/>
          <w:szCs w:val="24"/>
        </w:rPr>
        <w:footnoteReference w:id="13"/>
      </w:r>
      <w:r w:rsidR="0013497A">
        <w:rPr>
          <w:rFonts w:ascii="Times New Roman" w:hAnsi="Times New Roman" w:cs="Times New Roman"/>
          <w:sz w:val="24"/>
          <w:szCs w:val="24"/>
        </w:rPr>
        <w:t xml:space="preserve"> </w:t>
      </w:r>
      <w:r w:rsidR="004C25DE">
        <w:rPr>
          <w:rFonts w:ascii="Times New Roman" w:hAnsi="Times New Roman" w:cs="Times New Roman"/>
          <w:sz w:val="24"/>
          <w:szCs w:val="24"/>
        </w:rPr>
        <w:t xml:space="preserve">The Commissioner also found that Des Champs had waived its chance to seek a DQE </w:t>
      </w:r>
      <w:r w:rsidR="006704FC">
        <w:rPr>
          <w:rFonts w:ascii="Times New Roman" w:hAnsi="Times New Roman" w:cs="Times New Roman"/>
          <w:sz w:val="24"/>
          <w:szCs w:val="24"/>
        </w:rPr>
        <w:t>by</w:t>
      </w:r>
      <w:r w:rsidR="004C25DE">
        <w:rPr>
          <w:rFonts w:ascii="Times New Roman" w:hAnsi="Times New Roman" w:cs="Times New Roman"/>
          <w:sz w:val="24"/>
          <w:szCs w:val="24"/>
        </w:rPr>
        <w:t xml:space="preserve"> not pursuing it earlier.</w:t>
      </w:r>
      <w:r w:rsidR="004C25DE">
        <w:rPr>
          <w:rStyle w:val="FootnoteReference"/>
          <w:rFonts w:cs="Times New Roman"/>
          <w:sz w:val="24"/>
          <w:szCs w:val="24"/>
        </w:rPr>
        <w:footnoteReference w:id="14"/>
      </w:r>
    </w:p>
    <w:p w:rsidR="00431C2A" w:rsidRDefault="00431C2A" w:rsidP="00427D62">
      <w:pPr>
        <w:spacing w:line="276" w:lineRule="auto"/>
        <w:ind w:firstLine="720"/>
        <w:jc w:val="both"/>
        <w:rPr>
          <w:rFonts w:ascii="Times New Roman" w:hAnsi="Times New Roman" w:cs="Times New Roman"/>
          <w:sz w:val="24"/>
          <w:szCs w:val="24"/>
        </w:rPr>
      </w:pPr>
    </w:p>
    <w:p w:rsidR="00431C2A" w:rsidRDefault="0005769B" w:rsidP="00427D6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Among other issues, the Appellate Division </w:t>
      </w:r>
      <w:r w:rsidR="004C72F3">
        <w:rPr>
          <w:rFonts w:ascii="Times New Roman" w:hAnsi="Times New Roman" w:cs="Times New Roman"/>
          <w:sz w:val="24"/>
          <w:szCs w:val="24"/>
        </w:rPr>
        <w:t xml:space="preserve">addressed and </w:t>
      </w:r>
      <w:r w:rsidR="00754388">
        <w:rPr>
          <w:rFonts w:ascii="Times New Roman" w:hAnsi="Times New Roman" w:cs="Times New Roman"/>
          <w:sz w:val="24"/>
          <w:szCs w:val="24"/>
        </w:rPr>
        <w:t>reversed the Commissioner’s legal ruling that Des Champs lacked standing to obtain a DQE</w:t>
      </w:r>
      <w:r w:rsidR="004C72F3">
        <w:rPr>
          <w:rFonts w:ascii="Times New Roman" w:hAnsi="Times New Roman" w:cs="Times New Roman"/>
          <w:sz w:val="24"/>
          <w:szCs w:val="24"/>
        </w:rPr>
        <w:t xml:space="preserve"> under </w:t>
      </w:r>
      <w:r w:rsidR="00427D62" w:rsidRPr="00427D62">
        <w:rPr>
          <w:rFonts w:ascii="Times New Roman" w:hAnsi="Times New Roman" w:cs="Times New Roman"/>
          <w:sz w:val="24"/>
          <w:szCs w:val="24"/>
        </w:rPr>
        <w:t>N.J.S.</w:t>
      </w:r>
      <w:r w:rsidR="004C72F3">
        <w:rPr>
          <w:rFonts w:ascii="Times New Roman" w:hAnsi="Times New Roman" w:cs="Times New Roman"/>
          <w:sz w:val="24"/>
          <w:szCs w:val="24"/>
        </w:rPr>
        <w:t xml:space="preserve"> 13</w:t>
      </w:r>
      <w:r w:rsidR="00067EBC">
        <w:rPr>
          <w:rFonts w:ascii="Times New Roman" w:hAnsi="Times New Roman" w:cs="Times New Roman"/>
          <w:sz w:val="24"/>
          <w:szCs w:val="24"/>
        </w:rPr>
        <w:t>:</w:t>
      </w:r>
      <w:r w:rsidR="004C72F3">
        <w:rPr>
          <w:rFonts w:ascii="Times New Roman" w:hAnsi="Times New Roman" w:cs="Times New Roman"/>
          <w:sz w:val="24"/>
          <w:szCs w:val="24"/>
        </w:rPr>
        <w:t>1K-9.7</w:t>
      </w:r>
      <w:r w:rsidR="00754388">
        <w:rPr>
          <w:rFonts w:ascii="Times New Roman" w:hAnsi="Times New Roman" w:cs="Times New Roman"/>
          <w:sz w:val="24"/>
          <w:szCs w:val="24"/>
        </w:rPr>
        <w:t>.</w:t>
      </w:r>
      <w:r w:rsidR="00754388">
        <w:rPr>
          <w:rStyle w:val="FootnoteReference"/>
          <w:rFonts w:cs="Times New Roman"/>
          <w:sz w:val="24"/>
          <w:szCs w:val="24"/>
        </w:rPr>
        <w:footnoteReference w:id="15"/>
      </w:r>
      <w:r w:rsidR="0013497A">
        <w:rPr>
          <w:rFonts w:ascii="Times New Roman" w:hAnsi="Times New Roman" w:cs="Times New Roman"/>
          <w:sz w:val="24"/>
          <w:szCs w:val="24"/>
        </w:rPr>
        <w:t xml:space="preserve"> </w:t>
      </w:r>
      <w:r w:rsidR="00A805CA">
        <w:rPr>
          <w:rFonts w:ascii="Times New Roman" w:hAnsi="Times New Roman" w:cs="Times New Roman"/>
          <w:sz w:val="24"/>
          <w:szCs w:val="24"/>
        </w:rPr>
        <w:t>In analyzing the relevant statute, the Appellate Division considered whether the legislative intent was to define “owner” as only the current owner of the property, as was asserted by the DEP and plaintiff</w:t>
      </w:r>
      <w:r w:rsidR="00067EBC">
        <w:rPr>
          <w:rFonts w:ascii="Times New Roman" w:hAnsi="Times New Roman" w:cs="Times New Roman"/>
          <w:sz w:val="24"/>
          <w:szCs w:val="24"/>
        </w:rPr>
        <w:t xml:space="preserve"> </w:t>
      </w:r>
      <w:r w:rsidR="00A805CA">
        <w:rPr>
          <w:rFonts w:ascii="Times New Roman" w:hAnsi="Times New Roman" w:cs="Times New Roman"/>
          <w:sz w:val="24"/>
          <w:szCs w:val="24"/>
        </w:rPr>
        <w:t>R</w:t>
      </w:r>
      <w:r w:rsidR="00067EBC">
        <w:rPr>
          <w:rFonts w:ascii="Times New Roman" w:hAnsi="Times New Roman" w:cs="Times New Roman"/>
          <w:sz w:val="24"/>
          <w:szCs w:val="24"/>
        </w:rPr>
        <w:t xml:space="preserve"> </w:t>
      </w:r>
      <w:r w:rsidR="00A805CA">
        <w:rPr>
          <w:rFonts w:ascii="Times New Roman" w:hAnsi="Times New Roman" w:cs="Times New Roman"/>
          <w:sz w:val="24"/>
          <w:szCs w:val="24"/>
        </w:rPr>
        <w:t>&amp;</w:t>
      </w:r>
      <w:r w:rsidR="00067EBC">
        <w:rPr>
          <w:rFonts w:ascii="Times New Roman" w:hAnsi="Times New Roman" w:cs="Times New Roman"/>
          <w:sz w:val="24"/>
          <w:szCs w:val="24"/>
        </w:rPr>
        <w:t xml:space="preserve"> </w:t>
      </w:r>
      <w:r w:rsidR="00A805CA">
        <w:rPr>
          <w:rFonts w:ascii="Times New Roman" w:hAnsi="Times New Roman" w:cs="Times New Roman"/>
          <w:sz w:val="24"/>
          <w:szCs w:val="24"/>
        </w:rPr>
        <w:t xml:space="preserve">K, or whether </w:t>
      </w:r>
      <w:r w:rsidR="00392474">
        <w:rPr>
          <w:rFonts w:ascii="Times New Roman" w:hAnsi="Times New Roman" w:cs="Times New Roman"/>
          <w:sz w:val="24"/>
          <w:szCs w:val="24"/>
        </w:rPr>
        <w:t>the term</w:t>
      </w:r>
      <w:r w:rsidR="0030409E">
        <w:rPr>
          <w:rFonts w:ascii="Times New Roman" w:hAnsi="Times New Roman" w:cs="Times New Roman"/>
          <w:sz w:val="24"/>
          <w:szCs w:val="24"/>
        </w:rPr>
        <w:t xml:space="preserve"> was</w:t>
      </w:r>
      <w:r w:rsidR="00A805CA">
        <w:rPr>
          <w:rFonts w:ascii="Times New Roman" w:hAnsi="Times New Roman" w:cs="Times New Roman"/>
          <w:sz w:val="24"/>
          <w:szCs w:val="24"/>
        </w:rPr>
        <w:t xml:space="preserve"> </w:t>
      </w:r>
      <w:r w:rsidR="0054212B">
        <w:rPr>
          <w:rFonts w:ascii="Times New Roman" w:hAnsi="Times New Roman" w:cs="Times New Roman"/>
          <w:sz w:val="24"/>
          <w:szCs w:val="24"/>
        </w:rPr>
        <w:t>meant to include</w:t>
      </w:r>
      <w:r w:rsidR="00A805CA">
        <w:rPr>
          <w:rFonts w:ascii="Times New Roman" w:hAnsi="Times New Roman" w:cs="Times New Roman"/>
          <w:sz w:val="24"/>
          <w:szCs w:val="24"/>
        </w:rPr>
        <w:t xml:space="preserve"> previous owners.</w:t>
      </w:r>
      <w:r w:rsidR="00A805CA">
        <w:rPr>
          <w:rStyle w:val="FootnoteReference"/>
          <w:rFonts w:cs="Times New Roman"/>
          <w:sz w:val="24"/>
          <w:szCs w:val="24"/>
        </w:rPr>
        <w:footnoteReference w:id="16"/>
      </w:r>
    </w:p>
    <w:p w:rsidR="00431C2A" w:rsidRDefault="00431C2A" w:rsidP="00431C2A">
      <w:pPr>
        <w:spacing w:line="276" w:lineRule="auto"/>
        <w:ind w:firstLine="720"/>
        <w:rPr>
          <w:rFonts w:ascii="Times New Roman" w:hAnsi="Times New Roman" w:cs="Times New Roman"/>
          <w:sz w:val="24"/>
          <w:szCs w:val="24"/>
        </w:rPr>
      </w:pPr>
    </w:p>
    <w:p w:rsidR="00431C2A" w:rsidRDefault="00431C2A" w:rsidP="00431C2A">
      <w:pPr>
        <w:spacing w:line="276" w:lineRule="auto"/>
        <w:ind w:firstLine="720"/>
        <w:rPr>
          <w:rFonts w:ascii="Times New Roman" w:hAnsi="Times New Roman" w:cs="Times New Roman"/>
          <w:sz w:val="24"/>
          <w:szCs w:val="24"/>
        </w:rPr>
      </w:pPr>
      <w:r>
        <w:rPr>
          <w:rFonts w:ascii="Times New Roman" w:hAnsi="Times New Roman" w:cs="Times New Roman"/>
          <w:sz w:val="24"/>
          <w:szCs w:val="24"/>
        </w:rPr>
        <w:t>The relevant portion of the statute states the following:</w:t>
      </w:r>
    </w:p>
    <w:p w:rsidR="00431C2A" w:rsidRDefault="00431C2A" w:rsidP="00431C2A">
      <w:pPr>
        <w:spacing w:line="276" w:lineRule="auto"/>
        <w:ind w:firstLine="720"/>
        <w:rPr>
          <w:rFonts w:ascii="Times New Roman" w:hAnsi="Times New Roman" w:cs="Times New Roman"/>
          <w:sz w:val="24"/>
          <w:szCs w:val="24"/>
        </w:rPr>
      </w:pPr>
    </w:p>
    <w:p w:rsidR="008A689D" w:rsidRPr="008A689D" w:rsidRDefault="008A689D" w:rsidP="00F95561">
      <w:pPr>
        <w:spacing w:line="276" w:lineRule="auto"/>
        <w:ind w:left="720" w:right="810"/>
        <w:jc w:val="both"/>
        <w:rPr>
          <w:rFonts w:ascii="Times New Roman" w:hAnsi="Times New Roman" w:cs="Times New Roman"/>
          <w:sz w:val="24"/>
          <w:szCs w:val="24"/>
        </w:rPr>
      </w:pPr>
      <w:r w:rsidRPr="008A689D">
        <w:rPr>
          <w:rFonts w:ascii="Times New Roman" w:hAnsi="Times New Roman" w:cs="Times New Roman"/>
          <w:sz w:val="24"/>
          <w:szCs w:val="24"/>
        </w:rPr>
        <w:t>The owner or operator of an industrial establishment may, upon submission of a written notice to the department, transfer ownership or operations or close operations without complying with the provisions of section 4 of P.L.1983, c. 330 (C. 13:1K-9) if the total quantity of hazardous substances and hazardous wastes generated, manufactured, refined, transported, treated, stored, handled, or disposed of at the industrial establishment at any one time during the owner's or operator's period of ownership or operations:</w:t>
      </w:r>
    </w:p>
    <w:p w:rsidR="008A689D" w:rsidRPr="008A689D" w:rsidRDefault="008A689D" w:rsidP="00BE5D0B">
      <w:pPr>
        <w:spacing w:line="276" w:lineRule="auto"/>
        <w:ind w:left="1440" w:right="1440"/>
        <w:jc w:val="both"/>
        <w:rPr>
          <w:rFonts w:ascii="Times New Roman" w:hAnsi="Times New Roman" w:cs="Times New Roman"/>
          <w:sz w:val="24"/>
          <w:szCs w:val="24"/>
        </w:rPr>
      </w:pPr>
      <w:r w:rsidRPr="008A689D">
        <w:rPr>
          <w:rFonts w:ascii="Times New Roman" w:hAnsi="Times New Roman" w:cs="Times New Roman"/>
          <w:sz w:val="24"/>
          <w:szCs w:val="24"/>
        </w:rPr>
        <w:t>(a) does not exceed 500 pounds or 55 gallons;</w:t>
      </w:r>
    </w:p>
    <w:p w:rsidR="008A689D" w:rsidRPr="008A689D" w:rsidRDefault="008A689D" w:rsidP="00BE5D0B">
      <w:pPr>
        <w:spacing w:line="276" w:lineRule="auto"/>
        <w:ind w:left="1440" w:right="1440"/>
        <w:jc w:val="both"/>
        <w:rPr>
          <w:rFonts w:ascii="Times New Roman" w:hAnsi="Times New Roman" w:cs="Times New Roman"/>
          <w:sz w:val="24"/>
          <w:szCs w:val="24"/>
        </w:rPr>
      </w:pPr>
      <w:r w:rsidRPr="008A689D">
        <w:rPr>
          <w:rFonts w:ascii="Times New Roman" w:hAnsi="Times New Roman" w:cs="Times New Roman"/>
          <w:sz w:val="24"/>
          <w:szCs w:val="24"/>
        </w:rPr>
        <w:t>(b) if a hazardous substance or hazardous waste is mixed with nonhazardous substances, the total quantity in the mixture does not exceed 500 pounds or 55 gallons; or</w:t>
      </w:r>
    </w:p>
    <w:p w:rsidR="008A689D" w:rsidRPr="008A689D" w:rsidRDefault="008A689D" w:rsidP="00BE5D0B">
      <w:pPr>
        <w:spacing w:line="276" w:lineRule="auto"/>
        <w:ind w:left="1440" w:right="1440"/>
        <w:jc w:val="both"/>
        <w:rPr>
          <w:rFonts w:ascii="Times New Roman" w:hAnsi="Times New Roman" w:cs="Times New Roman"/>
          <w:sz w:val="24"/>
          <w:szCs w:val="24"/>
        </w:rPr>
      </w:pPr>
      <w:r w:rsidRPr="008A689D">
        <w:rPr>
          <w:rFonts w:ascii="Times New Roman" w:hAnsi="Times New Roman" w:cs="Times New Roman"/>
          <w:sz w:val="24"/>
          <w:szCs w:val="24"/>
        </w:rPr>
        <w:lastRenderedPageBreak/>
        <w:t>(c) if, in the aggregate, hydraulic or lubricating oil, does not exceed 220 gallons.</w:t>
      </w:r>
      <w:r>
        <w:rPr>
          <w:rStyle w:val="FootnoteReference"/>
          <w:rFonts w:cs="Times New Roman"/>
          <w:sz w:val="24"/>
          <w:szCs w:val="24"/>
        </w:rPr>
        <w:footnoteReference w:id="17"/>
      </w:r>
    </w:p>
    <w:p w:rsidR="008A689D" w:rsidRPr="008A689D" w:rsidRDefault="008A689D" w:rsidP="008A689D">
      <w:pPr>
        <w:spacing w:line="276" w:lineRule="auto"/>
        <w:ind w:left="2160" w:right="1440"/>
        <w:rPr>
          <w:rFonts w:ascii="Times New Roman" w:hAnsi="Times New Roman" w:cs="Times New Roman"/>
          <w:sz w:val="24"/>
          <w:szCs w:val="24"/>
        </w:rPr>
      </w:pPr>
    </w:p>
    <w:p w:rsidR="00200BDE" w:rsidRDefault="007350A4" w:rsidP="00200BDE">
      <w:pPr>
        <w:tabs>
          <w:tab w:val="left" w:pos="9360"/>
        </w:tabs>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Appellate Division </w:t>
      </w:r>
      <w:r w:rsidR="00123E65">
        <w:rPr>
          <w:rFonts w:ascii="Times New Roman" w:hAnsi="Times New Roman" w:cs="Times New Roman"/>
          <w:sz w:val="24"/>
          <w:szCs w:val="24"/>
        </w:rPr>
        <w:t>acknowledged</w:t>
      </w:r>
      <w:r>
        <w:rPr>
          <w:rFonts w:ascii="Times New Roman" w:hAnsi="Times New Roman" w:cs="Times New Roman"/>
          <w:sz w:val="24"/>
          <w:szCs w:val="24"/>
        </w:rPr>
        <w:t xml:space="preserve"> there</w:t>
      </w:r>
      <w:r w:rsidR="0014289A">
        <w:rPr>
          <w:rFonts w:ascii="Times New Roman" w:hAnsi="Times New Roman" w:cs="Times New Roman"/>
          <w:sz w:val="24"/>
          <w:szCs w:val="24"/>
        </w:rPr>
        <w:t xml:space="preserve"> was some </w:t>
      </w:r>
      <w:r w:rsidR="00A25C2A">
        <w:rPr>
          <w:rFonts w:ascii="Times New Roman" w:hAnsi="Times New Roman" w:cs="Times New Roman"/>
          <w:sz w:val="24"/>
          <w:szCs w:val="24"/>
        </w:rPr>
        <w:t>“textual support”</w:t>
      </w:r>
      <w:r w:rsidR="00BE5D0B">
        <w:rPr>
          <w:rFonts w:ascii="Times New Roman" w:hAnsi="Times New Roman" w:cs="Times New Roman"/>
          <w:sz w:val="24"/>
          <w:szCs w:val="24"/>
        </w:rPr>
        <w:t xml:space="preserve"> that</w:t>
      </w:r>
      <w:r w:rsidR="0014289A">
        <w:rPr>
          <w:rFonts w:ascii="Times New Roman" w:hAnsi="Times New Roman" w:cs="Times New Roman"/>
          <w:sz w:val="24"/>
          <w:szCs w:val="24"/>
        </w:rPr>
        <w:t xml:space="preserve"> </w:t>
      </w:r>
      <w:r>
        <w:rPr>
          <w:rFonts w:ascii="Times New Roman" w:hAnsi="Times New Roman" w:cs="Times New Roman"/>
          <w:sz w:val="24"/>
          <w:szCs w:val="24"/>
        </w:rPr>
        <w:t>ISRA,</w:t>
      </w:r>
      <w:r w:rsidR="00BC0C3F">
        <w:rPr>
          <w:rFonts w:ascii="Times New Roman" w:hAnsi="Times New Roman" w:cs="Times New Roman"/>
          <w:sz w:val="24"/>
          <w:szCs w:val="24"/>
        </w:rPr>
        <w:t xml:space="preserve"> </w:t>
      </w:r>
      <w:r>
        <w:rPr>
          <w:rFonts w:ascii="Times New Roman" w:hAnsi="Times New Roman" w:cs="Times New Roman"/>
          <w:sz w:val="24"/>
          <w:szCs w:val="24"/>
        </w:rPr>
        <w:t>the statute authorizing the DEP to approve DQE applicat</w:t>
      </w:r>
      <w:r w:rsidR="0014289A">
        <w:rPr>
          <w:rFonts w:ascii="Times New Roman" w:hAnsi="Times New Roman" w:cs="Times New Roman"/>
          <w:sz w:val="24"/>
          <w:szCs w:val="24"/>
        </w:rPr>
        <w:t xml:space="preserve">ions, </w:t>
      </w:r>
      <w:r w:rsidR="00BE5D0B">
        <w:rPr>
          <w:rFonts w:ascii="Times New Roman" w:hAnsi="Times New Roman" w:cs="Times New Roman"/>
          <w:sz w:val="24"/>
          <w:szCs w:val="24"/>
        </w:rPr>
        <w:t>applies</w:t>
      </w:r>
      <w:r>
        <w:rPr>
          <w:rFonts w:ascii="Times New Roman" w:hAnsi="Times New Roman" w:cs="Times New Roman"/>
          <w:sz w:val="24"/>
          <w:szCs w:val="24"/>
        </w:rPr>
        <w:t xml:space="preserve"> to current owners only, in that the definiti</w:t>
      </w:r>
      <w:r w:rsidR="00067EBC">
        <w:rPr>
          <w:rFonts w:ascii="Times New Roman" w:hAnsi="Times New Roman" w:cs="Times New Roman"/>
          <w:sz w:val="24"/>
          <w:szCs w:val="24"/>
        </w:rPr>
        <w:t xml:space="preserve">on of “owner” under </w:t>
      </w:r>
      <w:r w:rsidR="00427D62" w:rsidRPr="00427D62">
        <w:rPr>
          <w:rFonts w:ascii="Times New Roman" w:hAnsi="Times New Roman" w:cs="Times New Roman"/>
          <w:sz w:val="24"/>
          <w:szCs w:val="24"/>
        </w:rPr>
        <w:t>N.J.S.</w:t>
      </w:r>
      <w:r w:rsidR="00067EBC">
        <w:rPr>
          <w:rFonts w:ascii="Times New Roman" w:hAnsi="Times New Roman" w:cs="Times New Roman"/>
          <w:sz w:val="24"/>
          <w:szCs w:val="24"/>
        </w:rPr>
        <w:t xml:space="preserve"> 13:1</w:t>
      </w:r>
      <w:r>
        <w:rPr>
          <w:rFonts w:ascii="Times New Roman" w:hAnsi="Times New Roman" w:cs="Times New Roman"/>
          <w:sz w:val="24"/>
          <w:szCs w:val="24"/>
        </w:rPr>
        <w:t>K</w:t>
      </w:r>
      <w:r w:rsidR="00BE5D0B">
        <w:rPr>
          <w:rFonts w:ascii="Times New Roman" w:hAnsi="Times New Roman" w:cs="Times New Roman"/>
          <w:sz w:val="24"/>
          <w:szCs w:val="24"/>
        </w:rPr>
        <w:t>-</w:t>
      </w:r>
      <w:r>
        <w:rPr>
          <w:rFonts w:ascii="Times New Roman" w:hAnsi="Times New Roman" w:cs="Times New Roman"/>
          <w:sz w:val="24"/>
          <w:szCs w:val="24"/>
        </w:rPr>
        <w:t xml:space="preserve">8 </w:t>
      </w:r>
      <w:r w:rsidR="00A01401">
        <w:rPr>
          <w:rFonts w:ascii="Times New Roman" w:hAnsi="Times New Roman" w:cs="Times New Roman"/>
          <w:sz w:val="24"/>
          <w:szCs w:val="24"/>
        </w:rPr>
        <w:t>means</w:t>
      </w:r>
      <w:r w:rsidRPr="007350A4">
        <w:rPr>
          <w:rFonts w:ascii="Times New Roman" w:hAnsi="Times New Roman" w:cs="Times New Roman"/>
          <w:sz w:val="24"/>
          <w:szCs w:val="24"/>
        </w:rPr>
        <w:t xml:space="preserve"> any person who </w:t>
      </w:r>
      <w:r w:rsidRPr="0014289A">
        <w:rPr>
          <w:rFonts w:ascii="Times New Roman" w:hAnsi="Times New Roman" w:cs="Times New Roman"/>
          <w:i/>
          <w:sz w:val="24"/>
          <w:szCs w:val="24"/>
        </w:rPr>
        <w:t>owns</w:t>
      </w:r>
      <w:r w:rsidRPr="007350A4">
        <w:rPr>
          <w:rFonts w:ascii="Times New Roman" w:hAnsi="Times New Roman" w:cs="Times New Roman"/>
          <w:sz w:val="24"/>
          <w:szCs w:val="24"/>
        </w:rPr>
        <w:t xml:space="preserve"> the property or who </w:t>
      </w:r>
      <w:r w:rsidRPr="0014289A">
        <w:rPr>
          <w:rFonts w:ascii="Times New Roman" w:hAnsi="Times New Roman" w:cs="Times New Roman"/>
          <w:i/>
          <w:sz w:val="24"/>
          <w:szCs w:val="24"/>
        </w:rPr>
        <w:t xml:space="preserve">owns </w:t>
      </w:r>
      <w:r w:rsidRPr="007350A4">
        <w:rPr>
          <w:rFonts w:ascii="Times New Roman" w:hAnsi="Times New Roman" w:cs="Times New Roman"/>
          <w:sz w:val="24"/>
          <w:szCs w:val="24"/>
        </w:rPr>
        <w:t>the establishment,</w:t>
      </w:r>
      <w:r w:rsidR="0014289A">
        <w:rPr>
          <w:rFonts w:ascii="Times New Roman" w:hAnsi="Times New Roman" w:cs="Times New Roman"/>
          <w:sz w:val="24"/>
          <w:szCs w:val="24"/>
        </w:rPr>
        <w:t xml:space="preserve"> and that use of the present-tense “owns” </w:t>
      </w:r>
      <w:r w:rsidR="00CE1BAD">
        <w:rPr>
          <w:rFonts w:ascii="Times New Roman" w:hAnsi="Times New Roman" w:cs="Times New Roman"/>
          <w:sz w:val="24"/>
          <w:szCs w:val="24"/>
        </w:rPr>
        <w:t xml:space="preserve">is an indication that </w:t>
      </w:r>
      <w:r w:rsidR="00A01401">
        <w:rPr>
          <w:rFonts w:ascii="Times New Roman" w:hAnsi="Times New Roman" w:cs="Times New Roman"/>
          <w:sz w:val="24"/>
          <w:szCs w:val="24"/>
        </w:rPr>
        <w:t xml:space="preserve">any </w:t>
      </w:r>
      <w:r w:rsidR="00CE1BAD">
        <w:rPr>
          <w:rFonts w:ascii="Times New Roman" w:hAnsi="Times New Roman" w:cs="Times New Roman"/>
          <w:sz w:val="24"/>
          <w:szCs w:val="24"/>
        </w:rPr>
        <w:t xml:space="preserve">references to “owner” </w:t>
      </w:r>
      <w:r w:rsidR="00354A48">
        <w:rPr>
          <w:rFonts w:ascii="Times New Roman" w:hAnsi="Times New Roman" w:cs="Times New Roman"/>
          <w:sz w:val="24"/>
          <w:szCs w:val="24"/>
        </w:rPr>
        <w:t xml:space="preserve">within the statutory scheme </w:t>
      </w:r>
      <w:r w:rsidR="00CE1BAD">
        <w:rPr>
          <w:rFonts w:ascii="Times New Roman" w:hAnsi="Times New Roman" w:cs="Times New Roman"/>
          <w:sz w:val="24"/>
          <w:szCs w:val="24"/>
        </w:rPr>
        <w:t>do not apply to previous owners.</w:t>
      </w:r>
      <w:r w:rsidR="00CE1BAD">
        <w:rPr>
          <w:rStyle w:val="FootnoteReference"/>
          <w:rFonts w:cs="Times New Roman"/>
          <w:sz w:val="24"/>
          <w:szCs w:val="24"/>
        </w:rPr>
        <w:footnoteReference w:id="18"/>
      </w:r>
      <w:r w:rsidR="0013497A">
        <w:rPr>
          <w:rFonts w:ascii="Times New Roman" w:hAnsi="Times New Roman" w:cs="Times New Roman"/>
          <w:sz w:val="24"/>
          <w:szCs w:val="24"/>
        </w:rPr>
        <w:t xml:space="preserve"> </w:t>
      </w:r>
      <w:r w:rsidR="00354A48">
        <w:rPr>
          <w:rFonts w:ascii="Times New Roman" w:hAnsi="Times New Roman" w:cs="Times New Roman"/>
          <w:sz w:val="24"/>
          <w:szCs w:val="24"/>
        </w:rPr>
        <w:t xml:space="preserve">The Appellate Division </w:t>
      </w:r>
      <w:r w:rsidR="00123E65">
        <w:rPr>
          <w:rFonts w:ascii="Times New Roman" w:hAnsi="Times New Roman" w:cs="Times New Roman"/>
          <w:sz w:val="24"/>
          <w:szCs w:val="24"/>
        </w:rPr>
        <w:t>also noted</w:t>
      </w:r>
      <w:r w:rsidR="00354A48">
        <w:rPr>
          <w:rFonts w:ascii="Times New Roman" w:hAnsi="Times New Roman" w:cs="Times New Roman"/>
          <w:sz w:val="24"/>
          <w:szCs w:val="24"/>
        </w:rPr>
        <w:t xml:space="preserve"> that the phrase “previous owner”</w:t>
      </w:r>
      <w:r w:rsidR="00067EBC">
        <w:rPr>
          <w:rFonts w:ascii="Times New Roman" w:hAnsi="Times New Roman" w:cs="Times New Roman"/>
          <w:sz w:val="24"/>
          <w:szCs w:val="24"/>
        </w:rPr>
        <w:t xml:space="preserve"> in </w:t>
      </w:r>
      <w:r w:rsidR="00427D62" w:rsidRPr="00427D62">
        <w:rPr>
          <w:rFonts w:ascii="Times New Roman" w:hAnsi="Times New Roman" w:cs="Times New Roman"/>
          <w:sz w:val="24"/>
          <w:szCs w:val="24"/>
        </w:rPr>
        <w:t>N.J.S.</w:t>
      </w:r>
      <w:r w:rsidR="00067EBC">
        <w:rPr>
          <w:rFonts w:ascii="Times New Roman" w:hAnsi="Times New Roman" w:cs="Times New Roman"/>
          <w:sz w:val="24"/>
          <w:szCs w:val="24"/>
        </w:rPr>
        <w:t xml:space="preserve"> 13:1</w:t>
      </w:r>
      <w:r w:rsidR="00A01401">
        <w:rPr>
          <w:rFonts w:ascii="Times New Roman" w:hAnsi="Times New Roman" w:cs="Times New Roman"/>
          <w:sz w:val="24"/>
          <w:szCs w:val="24"/>
        </w:rPr>
        <w:t>K-9.2</w:t>
      </w:r>
      <w:r w:rsidR="00CC5388">
        <w:rPr>
          <w:rStyle w:val="FootnoteReference"/>
          <w:rFonts w:cs="Times New Roman"/>
          <w:sz w:val="24"/>
          <w:szCs w:val="24"/>
        </w:rPr>
        <w:footnoteReference w:id="19"/>
      </w:r>
      <w:r w:rsidR="00123E65">
        <w:rPr>
          <w:rFonts w:ascii="Times New Roman" w:hAnsi="Times New Roman" w:cs="Times New Roman"/>
          <w:sz w:val="24"/>
          <w:szCs w:val="24"/>
        </w:rPr>
        <w:t xml:space="preserve"> would</w:t>
      </w:r>
      <w:r w:rsidR="00A01401">
        <w:rPr>
          <w:rFonts w:ascii="Times New Roman" w:hAnsi="Times New Roman" w:cs="Times New Roman"/>
          <w:sz w:val="24"/>
          <w:szCs w:val="24"/>
        </w:rPr>
        <w:t xml:space="preserve"> lend some support to the idea that </w:t>
      </w:r>
      <w:r w:rsidR="000E0EF6">
        <w:rPr>
          <w:rFonts w:ascii="Times New Roman" w:hAnsi="Times New Roman" w:cs="Times New Roman"/>
          <w:sz w:val="24"/>
          <w:szCs w:val="24"/>
        </w:rPr>
        <w:t>references to “owner” in other sections that do not include the word “previous” are meant to refer only to current owners.</w:t>
      </w:r>
      <w:r w:rsidR="000E0EF6">
        <w:rPr>
          <w:rStyle w:val="FootnoteReference"/>
          <w:rFonts w:cs="Times New Roman"/>
          <w:sz w:val="24"/>
          <w:szCs w:val="24"/>
        </w:rPr>
        <w:footnoteReference w:id="20"/>
      </w:r>
    </w:p>
    <w:p w:rsidR="00B750B5" w:rsidRDefault="00B750B5" w:rsidP="00200BDE">
      <w:pPr>
        <w:tabs>
          <w:tab w:val="left" w:pos="9360"/>
        </w:tabs>
        <w:spacing w:line="276" w:lineRule="auto"/>
        <w:ind w:firstLine="720"/>
        <w:jc w:val="both"/>
        <w:rPr>
          <w:rFonts w:ascii="Times New Roman" w:hAnsi="Times New Roman" w:cs="Times New Roman"/>
          <w:sz w:val="24"/>
          <w:szCs w:val="24"/>
        </w:rPr>
      </w:pPr>
    </w:p>
    <w:p w:rsidR="00B750B5" w:rsidRDefault="00225A83" w:rsidP="00200BDE">
      <w:pPr>
        <w:tabs>
          <w:tab w:val="left" w:pos="9360"/>
        </w:tabs>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B750B5">
        <w:rPr>
          <w:rFonts w:ascii="Times New Roman" w:hAnsi="Times New Roman" w:cs="Times New Roman"/>
          <w:sz w:val="24"/>
          <w:szCs w:val="24"/>
        </w:rPr>
        <w:t xml:space="preserve"> Appellate Divi</w:t>
      </w:r>
      <w:r w:rsidR="00901396">
        <w:rPr>
          <w:rFonts w:ascii="Times New Roman" w:hAnsi="Times New Roman" w:cs="Times New Roman"/>
          <w:sz w:val="24"/>
          <w:szCs w:val="24"/>
        </w:rPr>
        <w:t xml:space="preserve">sion </w:t>
      </w:r>
      <w:r w:rsidR="0010455D">
        <w:rPr>
          <w:rFonts w:ascii="Times New Roman" w:hAnsi="Times New Roman" w:cs="Times New Roman"/>
          <w:sz w:val="24"/>
          <w:szCs w:val="24"/>
        </w:rPr>
        <w:t>went on to consider</w:t>
      </w:r>
      <w:r w:rsidR="00B750B5">
        <w:rPr>
          <w:rFonts w:ascii="Times New Roman" w:hAnsi="Times New Roman" w:cs="Times New Roman"/>
          <w:sz w:val="24"/>
          <w:szCs w:val="24"/>
        </w:rPr>
        <w:t xml:space="preserve"> that </w:t>
      </w:r>
      <w:r w:rsidR="00923901">
        <w:rPr>
          <w:rFonts w:ascii="Times New Roman" w:hAnsi="Times New Roman" w:cs="Times New Roman"/>
          <w:sz w:val="24"/>
          <w:szCs w:val="24"/>
        </w:rPr>
        <w:t xml:space="preserve">the Legislature, as a policy matter, </w:t>
      </w:r>
      <w:r w:rsidR="00CA1C3E">
        <w:rPr>
          <w:rFonts w:ascii="Times New Roman" w:hAnsi="Times New Roman" w:cs="Times New Roman"/>
          <w:sz w:val="24"/>
          <w:szCs w:val="24"/>
        </w:rPr>
        <w:t>was seeking to streamline and provide certainty in the regulatory process</w:t>
      </w:r>
      <w:r w:rsidR="00923901">
        <w:rPr>
          <w:rStyle w:val="FootnoteReference"/>
          <w:rFonts w:cs="Times New Roman"/>
          <w:sz w:val="24"/>
          <w:szCs w:val="24"/>
        </w:rPr>
        <w:footnoteReference w:id="21"/>
      </w:r>
      <w:r w:rsidR="000A6BC2">
        <w:rPr>
          <w:rFonts w:ascii="Times New Roman" w:hAnsi="Times New Roman" w:cs="Times New Roman"/>
          <w:sz w:val="24"/>
          <w:szCs w:val="24"/>
        </w:rPr>
        <w:t xml:space="preserve"> and </w:t>
      </w:r>
      <w:r w:rsidR="00343FAC">
        <w:rPr>
          <w:rFonts w:ascii="Times New Roman" w:hAnsi="Times New Roman" w:cs="Times New Roman"/>
          <w:sz w:val="24"/>
          <w:szCs w:val="24"/>
        </w:rPr>
        <w:t xml:space="preserve">“specifically enacted the DQE provision, N.J.S. 13:1K-9.7, to </w:t>
      </w:r>
      <w:r w:rsidR="000A6BC2">
        <w:rPr>
          <w:rFonts w:ascii="Times New Roman" w:hAnsi="Times New Roman" w:cs="Times New Roman"/>
          <w:sz w:val="24"/>
          <w:szCs w:val="24"/>
        </w:rPr>
        <w:t>avoid the ‘strict enforcement’ of existing ‘obligations upon owners and operators that handled or stored only ‘de minimis’ quantities of hazardous substances … [because its burden] was too onerous, and [because] such onerous measures thwarted the efficient transfer of title and the cessation of business operations.’”</w:t>
      </w:r>
      <w:r w:rsidR="000A6BC2">
        <w:rPr>
          <w:rStyle w:val="FootnoteReference"/>
          <w:rFonts w:cs="Times New Roman"/>
          <w:sz w:val="24"/>
          <w:szCs w:val="24"/>
        </w:rPr>
        <w:footnoteReference w:id="22"/>
      </w:r>
    </w:p>
    <w:p w:rsidR="006329C9" w:rsidRDefault="006329C9" w:rsidP="00200BDE">
      <w:pPr>
        <w:tabs>
          <w:tab w:val="left" w:pos="9360"/>
        </w:tabs>
        <w:spacing w:line="276" w:lineRule="auto"/>
        <w:ind w:firstLine="720"/>
        <w:jc w:val="both"/>
        <w:rPr>
          <w:rFonts w:ascii="Times New Roman" w:hAnsi="Times New Roman" w:cs="Times New Roman"/>
          <w:sz w:val="24"/>
          <w:szCs w:val="24"/>
        </w:rPr>
      </w:pPr>
    </w:p>
    <w:p w:rsidR="006329C9" w:rsidRDefault="001E7ADB" w:rsidP="00200BDE">
      <w:pPr>
        <w:tabs>
          <w:tab w:val="left" w:pos="9360"/>
        </w:tabs>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6329C9">
        <w:rPr>
          <w:rFonts w:ascii="Times New Roman" w:hAnsi="Times New Roman" w:cs="Times New Roman"/>
          <w:sz w:val="24"/>
          <w:szCs w:val="24"/>
        </w:rPr>
        <w:t xml:space="preserve"> Appellate Division </w:t>
      </w:r>
      <w:r w:rsidR="00F95561">
        <w:rPr>
          <w:rFonts w:ascii="Times New Roman" w:hAnsi="Times New Roman" w:cs="Times New Roman"/>
          <w:sz w:val="24"/>
          <w:szCs w:val="24"/>
        </w:rPr>
        <w:t>also</w:t>
      </w:r>
      <w:r w:rsidR="00225A83">
        <w:rPr>
          <w:rFonts w:ascii="Times New Roman" w:hAnsi="Times New Roman" w:cs="Times New Roman"/>
          <w:sz w:val="24"/>
          <w:szCs w:val="24"/>
        </w:rPr>
        <w:t xml:space="preserve"> </w:t>
      </w:r>
      <w:r w:rsidR="0010455D">
        <w:rPr>
          <w:rFonts w:ascii="Times New Roman" w:hAnsi="Times New Roman" w:cs="Times New Roman"/>
          <w:sz w:val="24"/>
          <w:szCs w:val="24"/>
        </w:rPr>
        <w:t>noted</w:t>
      </w:r>
      <w:r w:rsidR="006329C9">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6329C9">
        <w:rPr>
          <w:rFonts w:ascii="Times New Roman" w:hAnsi="Times New Roman" w:cs="Times New Roman"/>
          <w:sz w:val="24"/>
          <w:szCs w:val="24"/>
        </w:rPr>
        <w:t xml:space="preserve">there is no language in the statute “explicitly prohibiting” a previous owner from applying for a DQE after the property has been sold, </w:t>
      </w:r>
      <w:r w:rsidR="006718F9">
        <w:rPr>
          <w:rFonts w:ascii="Times New Roman" w:hAnsi="Times New Roman" w:cs="Times New Roman"/>
          <w:sz w:val="24"/>
          <w:szCs w:val="24"/>
        </w:rPr>
        <w:t>nor anything in the legislative history, “given the policy objective to streamline the process for sites with de minimis quantities of hazardous materials</w:t>
      </w:r>
      <w:r w:rsidR="004A68BC">
        <w:rPr>
          <w:rFonts w:ascii="Times New Roman" w:hAnsi="Times New Roman" w:cs="Times New Roman"/>
          <w:sz w:val="24"/>
          <w:szCs w:val="24"/>
        </w:rPr>
        <w:t>,</w:t>
      </w:r>
      <w:r w:rsidR="006718F9">
        <w:rPr>
          <w:rFonts w:ascii="Times New Roman" w:hAnsi="Times New Roman" w:cs="Times New Roman"/>
          <w:sz w:val="24"/>
          <w:szCs w:val="24"/>
        </w:rPr>
        <w:t xml:space="preserve">” </w:t>
      </w:r>
      <w:r w:rsidR="006C4724">
        <w:rPr>
          <w:rFonts w:ascii="Times New Roman" w:hAnsi="Times New Roman" w:cs="Times New Roman"/>
          <w:sz w:val="24"/>
          <w:szCs w:val="24"/>
        </w:rPr>
        <w:t>that restricts</w:t>
      </w:r>
      <w:r w:rsidR="006718F9">
        <w:rPr>
          <w:rFonts w:ascii="Times New Roman" w:hAnsi="Times New Roman" w:cs="Times New Roman"/>
          <w:sz w:val="24"/>
          <w:szCs w:val="24"/>
        </w:rPr>
        <w:t xml:space="preserve"> DQEs </w:t>
      </w:r>
      <w:r w:rsidR="004A68BC">
        <w:rPr>
          <w:rFonts w:ascii="Times New Roman" w:hAnsi="Times New Roman" w:cs="Times New Roman"/>
          <w:sz w:val="24"/>
          <w:szCs w:val="24"/>
        </w:rPr>
        <w:t>only to</w:t>
      </w:r>
      <w:r w:rsidR="0010455D">
        <w:rPr>
          <w:rFonts w:ascii="Times New Roman" w:hAnsi="Times New Roman" w:cs="Times New Roman"/>
          <w:sz w:val="24"/>
          <w:szCs w:val="24"/>
        </w:rPr>
        <w:t xml:space="preserve"> present owners.</w:t>
      </w:r>
      <w:r w:rsidR="001C4477">
        <w:rPr>
          <w:rStyle w:val="FootnoteReference"/>
          <w:rFonts w:cs="Times New Roman"/>
          <w:sz w:val="24"/>
          <w:szCs w:val="24"/>
        </w:rPr>
        <w:footnoteReference w:id="23"/>
      </w:r>
    </w:p>
    <w:p w:rsidR="007350A4" w:rsidRDefault="007350A4" w:rsidP="00427D62">
      <w:pPr>
        <w:tabs>
          <w:tab w:val="left" w:pos="9360"/>
        </w:tabs>
        <w:spacing w:line="276" w:lineRule="auto"/>
        <w:ind w:firstLine="720"/>
        <w:jc w:val="both"/>
        <w:rPr>
          <w:rFonts w:ascii="Times New Roman" w:hAnsi="Times New Roman" w:cs="Times New Roman"/>
          <w:sz w:val="24"/>
          <w:szCs w:val="24"/>
        </w:rPr>
      </w:pPr>
    </w:p>
    <w:p w:rsidR="00F42E1C" w:rsidRDefault="0083751D" w:rsidP="00427D62">
      <w:pPr>
        <w:tabs>
          <w:tab w:val="left" w:pos="9360"/>
        </w:tabs>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Finally</w:t>
      </w:r>
      <w:r w:rsidR="000E0EF6">
        <w:rPr>
          <w:rFonts w:ascii="Times New Roman" w:hAnsi="Times New Roman" w:cs="Times New Roman"/>
          <w:sz w:val="24"/>
          <w:szCs w:val="24"/>
        </w:rPr>
        <w:t>, the Appellate Division determined</w:t>
      </w:r>
      <w:r w:rsidR="004C72F3">
        <w:rPr>
          <w:rFonts w:ascii="Times New Roman" w:hAnsi="Times New Roman" w:cs="Times New Roman"/>
          <w:sz w:val="24"/>
          <w:szCs w:val="24"/>
        </w:rPr>
        <w:t xml:space="preserve"> that because the </w:t>
      </w:r>
      <w:r w:rsidR="00F51C23">
        <w:rPr>
          <w:rFonts w:ascii="Times New Roman" w:hAnsi="Times New Roman" w:cs="Times New Roman"/>
          <w:sz w:val="24"/>
          <w:szCs w:val="24"/>
        </w:rPr>
        <w:t xml:space="preserve">statutory scheme as a whole is retroactive in situations where the DEP rescinds previously-granted NFA letters when an applicant is no longer in compliance, thereby necessitating an applicant to “once again adhere to the ISRA requirements set forth in </w:t>
      </w:r>
      <w:r w:rsidR="00427D62" w:rsidRPr="00427D62">
        <w:rPr>
          <w:rFonts w:ascii="Times New Roman" w:hAnsi="Times New Roman" w:cs="Times New Roman"/>
          <w:sz w:val="24"/>
          <w:szCs w:val="24"/>
        </w:rPr>
        <w:t>N.J.S.[]</w:t>
      </w:r>
      <w:r w:rsidR="00F51C23">
        <w:rPr>
          <w:rFonts w:ascii="Times New Roman" w:hAnsi="Times New Roman" w:cs="Times New Roman"/>
          <w:sz w:val="24"/>
          <w:szCs w:val="24"/>
        </w:rPr>
        <w:t xml:space="preserve"> 13</w:t>
      </w:r>
      <w:r w:rsidR="00A01401">
        <w:rPr>
          <w:rFonts w:ascii="Times New Roman" w:hAnsi="Times New Roman" w:cs="Times New Roman"/>
          <w:sz w:val="24"/>
          <w:szCs w:val="24"/>
        </w:rPr>
        <w:t>:</w:t>
      </w:r>
      <w:r w:rsidR="00F51C23">
        <w:rPr>
          <w:rFonts w:ascii="Times New Roman" w:hAnsi="Times New Roman" w:cs="Times New Roman"/>
          <w:sz w:val="24"/>
          <w:szCs w:val="24"/>
        </w:rPr>
        <w:t>1K-9,” the definition of “owner”</w:t>
      </w:r>
      <w:r w:rsidR="00067EBC">
        <w:rPr>
          <w:rFonts w:ascii="Times New Roman" w:hAnsi="Times New Roman" w:cs="Times New Roman"/>
          <w:sz w:val="24"/>
          <w:szCs w:val="24"/>
        </w:rPr>
        <w:t xml:space="preserve"> in </w:t>
      </w:r>
      <w:r w:rsidR="00427D62" w:rsidRPr="00427D62">
        <w:rPr>
          <w:rFonts w:ascii="Times New Roman" w:hAnsi="Times New Roman" w:cs="Times New Roman"/>
          <w:sz w:val="24"/>
          <w:szCs w:val="24"/>
        </w:rPr>
        <w:t>N.J.S.</w:t>
      </w:r>
      <w:r w:rsidR="00067EBC">
        <w:rPr>
          <w:rFonts w:ascii="Times New Roman" w:hAnsi="Times New Roman" w:cs="Times New Roman"/>
          <w:sz w:val="24"/>
          <w:szCs w:val="24"/>
        </w:rPr>
        <w:t xml:space="preserve"> 13:1</w:t>
      </w:r>
      <w:r w:rsidR="009045DE">
        <w:rPr>
          <w:rFonts w:ascii="Times New Roman" w:hAnsi="Times New Roman" w:cs="Times New Roman"/>
          <w:sz w:val="24"/>
          <w:szCs w:val="24"/>
        </w:rPr>
        <w:t xml:space="preserve">K-9 and </w:t>
      </w:r>
      <w:r w:rsidR="00427D62" w:rsidRPr="00427D62">
        <w:rPr>
          <w:rFonts w:ascii="Times New Roman" w:hAnsi="Times New Roman" w:cs="Times New Roman"/>
          <w:sz w:val="24"/>
          <w:szCs w:val="24"/>
        </w:rPr>
        <w:t>N.J.S.[]</w:t>
      </w:r>
      <w:r w:rsidR="00067EBC">
        <w:rPr>
          <w:rFonts w:ascii="Times New Roman" w:hAnsi="Times New Roman" w:cs="Times New Roman"/>
          <w:sz w:val="24"/>
          <w:szCs w:val="24"/>
        </w:rPr>
        <w:t xml:space="preserve"> 13:1</w:t>
      </w:r>
      <w:r w:rsidR="00F51C23">
        <w:rPr>
          <w:rFonts w:ascii="Times New Roman" w:hAnsi="Times New Roman" w:cs="Times New Roman"/>
          <w:sz w:val="24"/>
          <w:szCs w:val="24"/>
        </w:rPr>
        <w:t>K-9.7 should be read to include former owners.</w:t>
      </w:r>
      <w:r w:rsidR="00F51C23">
        <w:rPr>
          <w:rStyle w:val="FootnoteReference"/>
          <w:rFonts w:cs="Times New Roman"/>
          <w:sz w:val="24"/>
          <w:szCs w:val="24"/>
        </w:rPr>
        <w:footnoteReference w:id="24"/>
      </w:r>
      <w:r w:rsidR="0013497A">
        <w:rPr>
          <w:rFonts w:ascii="Times New Roman" w:hAnsi="Times New Roman" w:cs="Times New Roman"/>
          <w:sz w:val="24"/>
          <w:szCs w:val="24"/>
        </w:rPr>
        <w:t xml:space="preserve"> </w:t>
      </w:r>
      <w:r w:rsidR="006753C3">
        <w:rPr>
          <w:rFonts w:ascii="Times New Roman" w:hAnsi="Times New Roman" w:cs="Times New Roman"/>
          <w:sz w:val="24"/>
          <w:szCs w:val="24"/>
        </w:rPr>
        <w:t xml:space="preserve">The Appellate Division </w:t>
      </w:r>
      <w:r w:rsidR="00250847">
        <w:rPr>
          <w:rFonts w:ascii="Times New Roman" w:hAnsi="Times New Roman" w:cs="Times New Roman"/>
          <w:sz w:val="24"/>
          <w:szCs w:val="24"/>
        </w:rPr>
        <w:t xml:space="preserve">found </w:t>
      </w:r>
      <w:r w:rsidR="00CB70FB">
        <w:rPr>
          <w:rFonts w:ascii="Times New Roman" w:hAnsi="Times New Roman" w:cs="Times New Roman"/>
          <w:sz w:val="24"/>
          <w:szCs w:val="24"/>
        </w:rPr>
        <w:t xml:space="preserve">that </w:t>
      </w:r>
    </w:p>
    <w:p w:rsidR="00F42E1C" w:rsidRDefault="00F42E1C" w:rsidP="00250847">
      <w:pPr>
        <w:tabs>
          <w:tab w:val="left" w:pos="9360"/>
        </w:tabs>
        <w:spacing w:line="276" w:lineRule="auto"/>
        <w:ind w:firstLine="720"/>
        <w:rPr>
          <w:rFonts w:ascii="Times New Roman" w:hAnsi="Times New Roman" w:cs="Times New Roman"/>
          <w:sz w:val="24"/>
          <w:szCs w:val="24"/>
        </w:rPr>
      </w:pPr>
    </w:p>
    <w:p w:rsidR="008A689D" w:rsidRDefault="00CB70FB" w:rsidP="00F95561">
      <w:pPr>
        <w:spacing w:line="276"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allowing the DEP [] to adhere to a restrictive definition of ‘owner’ for standing purposes would be fundamentally unfair … [and] [i]t would be inequitable to construe the statutory scheme to deprive former owners of contaminated sites, </w:t>
      </w:r>
      <w:r>
        <w:rPr>
          <w:rFonts w:ascii="Times New Roman" w:hAnsi="Times New Roman" w:cs="Times New Roman"/>
          <w:sz w:val="24"/>
          <w:szCs w:val="24"/>
        </w:rPr>
        <w:lastRenderedPageBreak/>
        <w:t>who can be held liable retrospectively under ISRA for those conditions, of the opportunity to pursue DQEs or other exemptions that may</w:t>
      </w:r>
      <w:r w:rsidR="005A3AAC">
        <w:rPr>
          <w:rFonts w:ascii="Times New Roman" w:hAnsi="Times New Roman" w:cs="Times New Roman"/>
          <w:sz w:val="24"/>
          <w:szCs w:val="24"/>
        </w:rPr>
        <w:t xml:space="preserve"> be enjoyed by current owners. </w:t>
      </w:r>
      <w:r>
        <w:rPr>
          <w:rFonts w:ascii="Times New Roman" w:hAnsi="Times New Roman" w:cs="Times New Roman"/>
          <w:sz w:val="24"/>
          <w:szCs w:val="24"/>
        </w:rPr>
        <w:t xml:space="preserve">If liability under ISRA can extend to a former ‘owner’ then the avenue for an exemption equitably and logically should extend </w:t>
      </w:r>
      <w:r w:rsidR="00F42E1C">
        <w:rPr>
          <w:rFonts w:ascii="Times New Roman" w:hAnsi="Times New Roman" w:cs="Times New Roman"/>
          <w:sz w:val="24"/>
          <w:szCs w:val="24"/>
        </w:rPr>
        <w:t>reciprocally</w:t>
      </w:r>
      <w:r>
        <w:rPr>
          <w:rFonts w:ascii="Times New Roman" w:hAnsi="Times New Roman" w:cs="Times New Roman"/>
          <w:sz w:val="24"/>
          <w:szCs w:val="24"/>
        </w:rPr>
        <w:t xml:space="preserve"> to qualified former owners, as well.</w:t>
      </w:r>
      <w:r w:rsidR="00F42E1C">
        <w:rPr>
          <w:rStyle w:val="FootnoteReference"/>
          <w:rFonts w:cs="Times New Roman"/>
          <w:sz w:val="24"/>
          <w:szCs w:val="24"/>
        </w:rPr>
        <w:footnoteReference w:id="25"/>
      </w:r>
    </w:p>
    <w:p w:rsidR="00F51C23" w:rsidRPr="008A689D" w:rsidRDefault="00F51C23" w:rsidP="00250847">
      <w:pPr>
        <w:tabs>
          <w:tab w:val="left" w:pos="9360"/>
        </w:tabs>
        <w:spacing w:line="276" w:lineRule="auto"/>
        <w:ind w:firstLine="720"/>
        <w:rPr>
          <w:rFonts w:ascii="Times New Roman" w:hAnsi="Times New Roman" w:cs="Times New Roman"/>
          <w:sz w:val="24"/>
          <w:szCs w:val="24"/>
        </w:rPr>
      </w:pPr>
    </w:p>
    <w:p w:rsidR="00431C2A" w:rsidRPr="00F64C99" w:rsidRDefault="0083254F" w:rsidP="00427D6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548EA">
        <w:rPr>
          <w:rFonts w:ascii="Times New Roman" w:hAnsi="Times New Roman" w:cs="Times New Roman"/>
          <w:sz w:val="24"/>
          <w:szCs w:val="24"/>
        </w:rPr>
        <w:t>S</w:t>
      </w:r>
      <w:r w:rsidR="00CC5388">
        <w:rPr>
          <w:rFonts w:ascii="Times New Roman" w:hAnsi="Times New Roman" w:cs="Times New Roman"/>
          <w:sz w:val="24"/>
          <w:szCs w:val="24"/>
        </w:rPr>
        <w:t xml:space="preserve">ince the Appellate Division did note that there was textual support to interpret </w:t>
      </w:r>
      <w:r w:rsidR="00427D62" w:rsidRPr="00427D62">
        <w:rPr>
          <w:rFonts w:ascii="Times New Roman" w:hAnsi="Times New Roman" w:cs="Times New Roman"/>
          <w:sz w:val="24"/>
          <w:szCs w:val="24"/>
        </w:rPr>
        <w:t>N.J.S.</w:t>
      </w:r>
      <w:r w:rsidR="00CC5388">
        <w:rPr>
          <w:rFonts w:ascii="Times New Roman" w:hAnsi="Times New Roman" w:cs="Times New Roman"/>
          <w:sz w:val="24"/>
          <w:szCs w:val="24"/>
        </w:rPr>
        <w:t xml:space="preserve"> </w:t>
      </w:r>
      <w:r w:rsidR="00E8236C">
        <w:rPr>
          <w:rFonts w:ascii="Times New Roman" w:hAnsi="Times New Roman" w:cs="Times New Roman"/>
          <w:sz w:val="24"/>
          <w:szCs w:val="24"/>
        </w:rPr>
        <w:t>13:1</w:t>
      </w:r>
      <w:r w:rsidR="00CC5388">
        <w:rPr>
          <w:rFonts w:ascii="Times New Roman" w:hAnsi="Times New Roman" w:cs="Times New Roman"/>
          <w:sz w:val="24"/>
          <w:szCs w:val="24"/>
        </w:rPr>
        <w:t>K</w:t>
      </w:r>
      <w:r w:rsidR="00E8236C">
        <w:rPr>
          <w:rFonts w:ascii="Times New Roman" w:hAnsi="Times New Roman" w:cs="Times New Roman"/>
          <w:sz w:val="24"/>
          <w:szCs w:val="24"/>
        </w:rPr>
        <w:t>-</w:t>
      </w:r>
      <w:r w:rsidR="00CC5388">
        <w:rPr>
          <w:rFonts w:ascii="Times New Roman" w:hAnsi="Times New Roman" w:cs="Times New Roman"/>
          <w:sz w:val="24"/>
          <w:szCs w:val="24"/>
        </w:rPr>
        <w:t xml:space="preserve">9 and </w:t>
      </w:r>
      <w:r w:rsidR="00427D62" w:rsidRPr="00427D62">
        <w:rPr>
          <w:rFonts w:ascii="Times New Roman" w:hAnsi="Times New Roman" w:cs="Times New Roman"/>
          <w:sz w:val="24"/>
          <w:szCs w:val="24"/>
        </w:rPr>
        <w:t>N.J.S.</w:t>
      </w:r>
      <w:r w:rsidR="00E8236C">
        <w:rPr>
          <w:rFonts w:ascii="Times New Roman" w:hAnsi="Times New Roman" w:cs="Times New Roman"/>
          <w:sz w:val="24"/>
          <w:szCs w:val="24"/>
        </w:rPr>
        <w:t xml:space="preserve"> 13:1</w:t>
      </w:r>
      <w:r w:rsidR="00CC5388">
        <w:rPr>
          <w:rFonts w:ascii="Times New Roman" w:hAnsi="Times New Roman" w:cs="Times New Roman"/>
          <w:sz w:val="24"/>
          <w:szCs w:val="24"/>
        </w:rPr>
        <w:t>K</w:t>
      </w:r>
      <w:r w:rsidR="00E8236C">
        <w:rPr>
          <w:rFonts w:ascii="Times New Roman" w:hAnsi="Times New Roman" w:cs="Times New Roman"/>
          <w:sz w:val="24"/>
          <w:szCs w:val="24"/>
        </w:rPr>
        <w:t>-</w:t>
      </w:r>
      <w:r w:rsidR="00CC5388">
        <w:rPr>
          <w:rFonts w:ascii="Times New Roman" w:hAnsi="Times New Roman" w:cs="Times New Roman"/>
          <w:sz w:val="24"/>
          <w:szCs w:val="24"/>
        </w:rPr>
        <w:t xml:space="preserve">9.7 as referring only to current owners and not previous owners, but determined that it would be inequitable and unfair to restrict these provisions to current owners only, </w:t>
      </w:r>
      <w:r w:rsidR="00237A1C">
        <w:rPr>
          <w:rFonts w:ascii="Times New Roman" w:hAnsi="Times New Roman" w:cs="Times New Roman"/>
          <w:sz w:val="24"/>
          <w:szCs w:val="24"/>
        </w:rPr>
        <w:t xml:space="preserve">it seems that the statute </w:t>
      </w:r>
      <w:r w:rsidR="00E8236C">
        <w:rPr>
          <w:rFonts w:ascii="Times New Roman" w:hAnsi="Times New Roman" w:cs="Times New Roman"/>
          <w:sz w:val="24"/>
          <w:szCs w:val="24"/>
        </w:rPr>
        <w:t>may</w:t>
      </w:r>
      <w:r w:rsidR="00237A1C">
        <w:rPr>
          <w:rFonts w:ascii="Times New Roman" w:hAnsi="Times New Roman" w:cs="Times New Roman"/>
          <w:sz w:val="24"/>
          <w:szCs w:val="24"/>
        </w:rPr>
        <w:t xml:space="preserve"> benefit from some language indicating that </w:t>
      </w:r>
      <w:r w:rsidR="00427D62" w:rsidRPr="00427D62">
        <w:rPr>
          <w:rFonts w:ascii="Times New Roman" w:hAnsi="Times New Roman" w:cs="Times New Roman"/>
          <w:sz w:val="24"/>
          <w:szCs w:val="24"/>
        </w:rPr>
        <w:t>N.J.S.</w:t>
      </w:r>
      <w:r w:rsidR="00E8236C">
        <w:rPr>
          <w:rFonts w:ascii="Times New Roman" w:hAnsi="Times New Roman" w:cs="Times New Roman"/>
          <w:sz w:val="24"/>
          <w:szCs w:val="24"/>
        </w:rPr>
        <w:t xml:space="preserve"> 13:1</w:t>
      </w:r>
      <w:r w:rsidR="00DD6C2C">
        <w:rPr>
          <w:rFonts w:ascii="Times New Roman" w:hAnsi="Times New Roman" w:cs="Times New Roman"/>
          <w:sz w:val="24"/>
          <w:szCs w:val="24"/>
        </w:rPr>
        <w:t>K</w:t>
      </w:r>
      <w:r w:rsidR="00E8236C">
        <w:rPr>
          <w:rFonts w:ascii="Times New Roman" w:hAnsi="Times New Roman" w:cs="Times New Roman"/>
          <w:sz w:val="24"/>
          <w:szCs w:val="24"/>
        </w:rPr>
        <w:t xml:space="preserve">-9 and </w:t>
      </w:r>
      <w:r w:rsidR="00427D62" w:rsidRPr="00427D62">
        <w:rPr>
          <w:rFonts w:ascii="Times New Roman" w:hAnsi="Times New Roman" w:cs="Times New Roman"/>
          <w:sz w:val="24"/>
          <w:szCs w:val="24"/>
        </w:rPr>
        <w:t>N.J.S.</w:t>
      </w:r>
      <w:r w:rsidR="00E8236C">
        <w:rPr>
          <w:rFonts w:ascii="Times New Roman" w:hAnsi="Times New Roman" w:cs="Times New Roman"/>
          <w:sz w:val="24"/>
          <w:szCs w:val="24"/>
        </w:rPr>
        <w:t xml:space="preserve"> 13:1</w:t>
      </w:r>
      <w:r w:rsidR="00DD6C2C">
        <w:rPr>
          <w:rFonts w:ascii="Times New Roman" w:hAnsi="Times New Roman" w:cs="Times New Roman"/>
          <w:sz w:val="24"/>
          <w:szCs w:val="24"/>
        </w:rPr>
        <w:t>K</w:t>
      </w:r>
      <w:r w:rsidR="00E8236C">
        <w:rPr>
          <w:rFonts w:ascii="Times New Roman" w:hAnsi="Times New Roman" w:cs="Times New Roman"/>
          <w:sz w:val="24"/>
          <w:szCs w:val="24"/>
        </w:rPr>
        <w:t>-</w:t>
      </w:r>
      <w:r w:rsidR="00DD6C2C">
        <w:rPr>
          <w:rFonts w:ascii="Times New Roman" w:hAnsi="Times New Roman" w:cs="Times New Roman"/>
          <w:sz w:val="24"/>
          <w:szCs w:val="24"/>
        </w:rPr>
        <w:t>9.7 may apply to previous owners.</w:t>
      </w:r>
    </w:p>
    <w:p w:rsidR="00431C2A" w:rsidRDefault="00431C2A" w:rsidP="00431C2A">
      <w:pPr>
        <w:spacing w:line="276" w:lineRule="auto"/>
        <w:jc w:val="center"/>
        <w:rPr>
          <w:rFonts w:ascii="Times New Roman" w:hAnsi="Times New Roman" w:cs="Times New Roman"/>
          <w:sz w:val="24"/>
          <w:szCs w:val="24"/>
        </w:rPr>
      </w:pPr>
    </w:p>
    <w:p w:rsidR="00431C2A" w:rsidRPr="00431C2A" w:rsidRDefault="00431C2A" w:rsidP="00431C2A">
      <w:pPr>
        <w:spacing w:line="276" w:lineRule="auto"/>
        <w:jc w:val="center"/>
        <w:rPr>
          <w:rFonts w:ascii="Times New Roman" w:eastAsia="Times New Roman" w:hAnsi="Times New Roman" w:cs="Times New Roman"/>
          <w:b/>
          <w:sz w:val="24"/>
          <w:szCs w:val="24"/>
        </w:rPr>
      </w:pPr>
      <w:r w:rsidRPr="00431C2A">
        <w:rPr>
          <w:rFonts w:ascii="Times New Roman" w:eastAsia="Times New Roman" w:hAnsi="Times New Roman" w:cs="Times New Roman"/>
          <w:b/>
          <w:sz w:val="24"/>
          <w:szCs w:val="24"/>
        </w:rPr>
        <w:t>Conclusion</w:t>
      </w:r>
    </w:p>
    <w:p w:rsidR="00431C2A" w:rsidRDefault="00431C2A" w:rsidP="00431C2A">
      <w:pPr>
        <w:spacing w:line="276" w:lineRule="auto"/>
        <w:jc w:val="center"/>
        <w:rPr>
          <w:rFonts w:ascii="Times New Roman" w:eastAsia="Times New Roman" w:hAnsi="Times New Roman" w:cs="Times New Roman"/>
          <w:sz w:val="24"/>
          <w:szCs w:val="24"/>
        </w:rPr>
      </w:pPr>
    </w:p>
    <w:p w:rsidR="00431C2A" w:rsidRDefault="00237A1C" w:rsidP="00431C2A">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seeks authorization to </w:t>
      </w:r>
      <w:r w:rsidR="00DD5356">
        <w:rPr>
          <w:rFonts w:ascii="Times New Roman" w:eastAsia="Times New Roman" w:hAnsi="Times New Roman" w:cs="Times New Roman"/>
          <w:sz w:val="24"/>
          <w:szCs w:val="24"/>
        </w:rPr>
        <w:t xml:space="preserve">engage in further research and outreach in order to </w:t>
      </w:r>
      <w:r w:rsidR="00765914">
        <w:rPr>
          <w:rFonts w:ascii="Times New Roman" w:eastAsia="Times New Roman" w:hAnsi="Times New Roman" w:cs="Times New Roman"/>
          <w:sz w:val="24"/>
          <w:szCs w:val="24"/>
        </w:rPr>
        <w:t>determine whether</w:t>
      </w:r>
      <w:r w:rsidR="00DD6C2C">
        <w:rPr>
          <w:rFonts w:ascii="Times New Roman" w:eastAsia="Times New Roman" w:hAnsi="Times New Roman" w:cs="Times New Roman"/>
          <w:sz w:val="24"/>
          <w:szCs w:val="24"/>
        </w:rPr>
        <w:t xml:space="preserve"> adding</w:t>
      </w:r>
      <w:r w:rsidR="00DD5356">
        <w:rPr>
          <w:rFonts w:ascii="Times New Roman" w:eastAsia="Times New Roman" w:hAnsi="Times New Roman" w:cs="Times New Roman"/>
          <w:sz w:val="24"/>
          <w:szCs w:val="24"/>
        </w:rPr>
        <w:t xml:space="preserve"> “previous owners” to the defini</w:t>
      </w:r>
      <w:r w:rsidR="00765914">
        <w:rPr>
          <w:rFonts w:ascii="Times New Roman" w:eastAsia="Times New Roman" w:hAnsi="Times New Roman" w:cs="Times New Roman"/>
          <w:sz w:val="24"/>
          <w:szCs w:val="24"/>
        </w:rPr>
        <w:t xml:space="preserve">tion of “owners” in </w:t>
      </w:r>
      <w:r w:rsidR="006E0F8E" w:rsidRPr="00A25C2A">
        <w:rPr>
          <w:rFonts w:ascii="Times New Roman" w:eastAsia="Times New Roman" w:hAnsi="Times New Roman" w:cs="Times New Roman"/>
          <w:sz w:val="24"/>
          <w:szCs w:val="24"/>
        </w:rPr>
        <w:t>N.J.S.</w:t>
      </w:r>
      <w:r w:rsidR="00765914">
        <w:rPr>
          <w:rFonts w:ascii="Times New Roman" w:eastAsia="Times New Roman" w:hAnsi="Times New Roman" w:cs="Times New Roman"/>
          <w:sz w:val="24"/>
          <w:szCs w:val="24"/>
        </w:rPr>
        <w:t xml:space="preserve"> 13:1</w:t>
      </w:r>
      <w:r w:rsidR="00DD5356">
        <w:rPr>
          <w:rFonts w:ascii="Times New Roman" w:eastAsia="Times New Roman" w:hAnsi="Times New Roman" w:cs="Times New Roman"/>
          <w:sz w:val="24"/>
          <w:szCs w:val="24"/>
        </w:rPr>
        <w:t>K</w:t>
      </w:r>
      <w:r w:rsidR="00765914">
        <w:rPr>
          <w:rFonts w:ascii="Times New Roman" w:eastAsia="Times New Roman" w:hAnsi="Times New Roman" w:cs="Times New Roman"/>
          <w:sz w:val="24"/>
          <w:szCs w:val="24"/>
        </w:rPr>
        <w:t>-</w:t>
      </w:r>
      <w:r w:rsidR="00DD5356">
        <w:rPr>
          <w:rFonts w:ascii="Times New Roman" w:eastAsia="Times New Roman" w:hAnsi="Times New Roman" w:cs="Times New Roman"/>
          <w:sz w:val="24"/>
          <w:szCs w:val="24"/>
        </w:rPr>
        <w:t xml:space="preserve">8, as well as to </w:t>
      </w:r>
      <w:r w:rsidR="006E0F8E" w:rsidRPr="00A25C2A">
        <w:rPr>
          <w:rFonts w:ascii="Times New Roman" w:eastAsia="Times New Roman" w:hAnsi="Times New Roman" w:cs="Times New Roman"/>
          <w:sz w:val="24"/>
          <w:szCs w:val="24"/>
        </w:rPr>
        <w:t>N.J.S.</w:t>
      </w:r>
      <w:r w:rsidR="00765914">
        <w:rPr>
          <w:rFonts w:ascii="Times New Roman" w:eastAsia="Times New Roman" w:hAnsi="Times New Roman" w:cs="Times New Roman"/>
          <w:sz w:val="24"/>
          <w:szCs w:val="24"/>
        </w:rPr>
        <w:t xml:space="preserve"> 13:1</w:t>
      </w:r>
      <w:r w:rsidR="00DD6C2C">
        <w:rPr>
          <w:rFonts w:ascii="Times New Roman" w:eastAsia="Times New Roman" w:hAnsi="Times New Roman" w:cs="Times New Roman"/>
          <w:sz w:val="24"/>
          <w:szCs w:val="24"/>
        </w:rPr>
        <w:t>K</w:t>
      </w:r>
      <w:r w:rsidR="00765914">
        <w:rPr>
          <w:rFonts w:ascii="Times New Roman" w:eastAsia="Times New Roman" w:hAnsi="Times New Roman" w:cs="Times New Roman"/>
          <w:sz w:val="24"/>
          <w:szCs w:val="24"/>
        </w:rPr>
        <w:t>-</w:t>
      </w:r>
      <w:r w:rsidR="00ED0011">
        <w:rPr>
          <w:rFonts w:ascii="Times New Roman" w:eastAsia="Times New Roman" w:hAnsi="Times New Roman" w:cs="Times New Roman"/>
          <w:sz w:val="24"/>
          <w:szCs w:val="24"/>
        </w:rPr>
        <w:t>9,</w:t>
      </w:r>
      <w:r w:rsidR="00765914">
        <w:rPr>
          <w:rFonts w:ascii="Times New Roman" w:eastAsia="Times New Roman" w:hAnsi="Times New Roman" w:cs="Times New Roman"/>
          <w:sz w:val="24"/>
          <w:szCs w:val="24"/>
        </w:rPr>
        <w:t xml:space="preserve"> </w:t>
      </w:r>
      <w:r w:rsidR="006E0F8E" w:rsidRPr="00BC4277">
        <w:rPr>
          <w:rFonts w:ascii="Times New Roman" w:eastAsia="Times New Roman" w:hAnsi="Times New Roman" w:cs="Times New Roman"/>
          <w:sz w:val="24"/>
          <w:szCs w:val="24"/>
        </w:rPr>
        <w:t>N.J.S.</w:t>
      </w:r>
      <w:r w:rsidR="00765914">
        <w:rPr>
          <w:rFonts w:ascii="Times New Roman" w:eastAsia="Times New Roman" w:hAnsi="Times New Roman" w:cs="Times New Roman"/>
          <w:sz w:val="24"/>
          <w:szCs w:val="24"/>
        </w:rPr>
        <w:t xml:space="preserve"> 13:1</w:t>
      </w:r>
      <w:r w:rsidR="00DD6C2C">
        <w:rPr>
          <w:rFonts w:ascii="Times New Roman" w:eastAsia="Times New Roman" w:hAnsi="Times New Roman" w:cs="Times New Roman"/>
          <w:sz w:val="24"/>
          <w:szCs w:val="24"/>
        </w:rPr>
        <w:t>K</w:t>
      </w:r>
      <w:r w:rsidR="00765914">
        <w:rPr>
          <w:rFonts w:ascii="Times New Roman" w:eastAsia="Times New Roman" w:hAnsi="Times New Roman" w:cs="Times New Roman"/>
          <w:sz w:val="24"/>
          <w:szCs w:val="24"/>
        </w:rPr>
        <w:t>-</w:t>
      </w:r>
      <w:r w:rsidR="00DD6C2C">
        <w:rPr>
          <w:rFonts w:ascii="Times New Roman" w:eastAsia="Times New Roman" w:hAnsi="Times New Roman" w:cs="Times New Roman"/>
          <w:sz w:val="24"/>
          <w:szCs w:val="24"/>
        </w:rPr>
        <w:t xml:space="preserve">9.7, </w:t>
      </w:r>
      <w:r w:rsidR="0083751D">
        <w:rPr>
          <w:rFonts w:ascii="Times New Roman" w:eastAsia="Times New Roman" w:hAnsi="Times New Roman" w:cs="Times New Roman"/>
          <w:sz w:val="24"/>
          <w:szCs w:val="24"/>
        </w:rPr>
        <w:t>along with</w:t>
      </w:r>
      <w:r w:rsidR="00ED0011">
        <w:rPr>
          <w:rFonts w:ascii="Times New Roman" w:eastAsia="Times New Roman" w:hAnsi="Times New Roman" w:cs="Times New Roman"/>
          <w:sz w:val="24"/>
          <w:szCs w:val="24"/>
        </w:rPr>
        <w:t xml:space="preserve"> any other statutes related to DQEs</w:t>
      </w:r>
      <w:r w:rsidR="00E8236C">
        <w:rPr>
          <w:rFonts w:ascii="Times New Roman" w:eastAsia="Times New Roman" w:hAnsi="Times New Roman" w:cs="Times New Roman"/>
          <w:sz w:val="24"/>
          <w:szCs w:val="24"/>
        </w:rPr>
        <w:t>, would be useful and provide clarity in line with this Appellate Division decision</w:t>
      </w:r>
      <w:r w:rsidR="00DD6C2C">
        <w:rPr>
          <w:rFonts w:ascii="Times New Roman" w:eastAsia="Times New Roman" w:hAnsi="Times New Roman" w:cs="Times New Roman"/>
          <w:sz w:val="24"/>
          <w:szCs w:val="24"/>
        </w:rPr>
        <w:t>.</w:t>
      </w:r>
    </w:p>
    <w:p w:rsidR="00853A15" w:rsidRPr="00431C2A" w:rsidRDefault="00853A15" w:rsidP="00431C2A"/>
    <w:sectPr w:rsidR="00853A15" w:rsidRPr="00431C2A" w:rsidSect="00152C5E">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2A" w:rsidRDefault="005E572A" w:rsidP="005E572A">
      <w:r>
        <w:separator/>
      </w:r>
    </w:p>
  </w:endnote>
  <w:endnote w:type="continuationSeparator" w:id="0">
    <w:p w:rsidR="005E572A" w:rsidRDefault="005E572A" w:rsidP="005E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46" w:rsidRDefault="002C040D" w:rsidP="000E74F9">
    <w:pPr>
      <w:pStyle w:val="Footer"/>
      <w:jc w:val="center"/>
      <w:rPr>
        <w:rFonts w:ascii="Times New Roman" w:hAnsi="Times New Roman" w:cs="Times New Roman"/>
        <w:sz w:val="20"/>
        <w:szCs w:val="20"/>
      </w:rPr>
    </w:pPr>
    <w:r>
      <w:rPr>
        <w:rFonts w:ascii="Times New Roman" w:hAnsi="Times New Roman" w:cs="Times New Roman"/>
        <w:i/>
        <w:sz w:val="20"/>
        <w:szCs w:val="20"/>
      </w:rPr>
      <w:t>R &amp; K Assoc.</w:t>
    </w:r>
    <w:r w:rsidRPr="002C040D">
      <w:rPr>
        <w:rFonts w:ascii="Times New Roman" w:hAnsi="Times New Roman" w:cs="Times New Roman"/>
        <w:i/>
        <w:sz w:val="20"/>
        <w:szCs w:val="20"/>
      </w:rPr>
      <w:t xml:space="preserve">, LLC v. </w:t>
    </w:r>
    <w:r>
      <w:rPr>
        <w:rFonts w:ascii="Times New Roman" w:hAnsi="Times New Roman" w:cs="Times New Roman"/>
        <w:i/>
        <w:sz w:val="20"/>
        <w:szCs w:val="20"/>
      </w:rPr>
      <w:t>N.J. Dep't of Envtl. Prot</w:t>
    </w:r>
    <w:r>
      <w:rPr>
        <w:rFonts w:ascii="Times New Roman" w:hAnsi="Times New Roman" w:cs="Times New Roman"/>
        <w:sz w:val="20"/>
        <w:szCs w:val="20"/>
      </w:rPr>
      <w:t>,</w:t>
    </w:r>
    <w:r w:rsidRPr="002C040D">
      <w:rPr>
        <w:rFonts w:ascii="Times New Roman" w:hAnsi="Times New Roman" w:cs="Times New Roman"/>
        <w:sz w:val="20"/>
        <w:szCs w:val="20"/>
      </w:rPr>
      <w:t xml:space="preserve"> N.J.S. 13:1K-8, N.J.S. 13:1K-9, and N.J.S. 13:1K-9.7</w:t>
    </w:r>
  </w:p>
  <w:p w:rsidR="00152C5E" w:rsidRDefault="00DC0346" w:rsidP="000E74F9">
    <w:pPr>
      <w:pStyle w:val="Footer"/>
      <w:jc w:val="center"/>
      <w:rPr>
        <w:rFonts w:ascii="Times New Roman" w:hAnsi="Times New Roman" w:cs="Times New Roman"/>
        <w:sz w:val="20"/>
        <w:szCs w:val="20"/>
      </w:rPr>
    </w:pPr>
    <w:r>
      <w:rPr>
        <w:rFonts w:ascii="Times New Roman" w:hAnsi="Times New Roman" w:cs="Times New Roman"/>
        <w:sz w:val="20"/>
        <w:szCs w:val="20"/>
      </w:rPr>
      <w:t>July 9</w:t>
    </w:r>
    <w:r w:rsidR="00A5203F" w:rsidRPr="0074698C">
      <w:rPr>
        <w:rFonts w:ascii="Times New Roman" w:hAnsi="Times New Roman" w:cs="Times New Roman"/>
        <w:sz w:val="20"/>
        <w:szCs w:val="20"/>
      </w:rPr>
      <w:t>, 201</w:t>
    </w:r>
    <w:r w:rsidR="00152C5E">
      <w:rPr>
        <w:rFonts w:ascii="Times New Roman" w:hAnsi="Times New Roman" w:cs="Times New Roman"/>
        <w:sz w:val="20"/>
        <w:szCs w:val="20"/>
      </w:rPr>
      <w:t>8</w:t>
    </w:r>
  </w:p>
  <w:p w:rsidR="0074698C" w:rsidRPr="0074698C" w:rsidRDefault="00A5203F" w:rsidP="000E74F9">
    <w:pPr>
      <w:pStyle w:val="Footer"/>
      <w:jc w:val="center"/>
      <w:rPr>
        <w:rFonts w:ascii="Times New Roman" w:hAnsi="Times New Roman" w:cs="Times New Roman"/>
        <w:sz w:val="20"/>
        <w:szCs w:val="20"/>
      </w:rPr>
    </w:pPr>
    <w:r w:rsidRPr="0074698C">
      <w:rPr>
        <w:rFonts w:ascii="Times New Roman" w:hAnsi="Times New Roman" w:cs="Times New Roman"/>
        <w:sz w:val="20"/>
        <w:szCs w:val="20"/>
      </w:rPr>
      <w:t xml:space="preserve">Page </w:t>
    </w:r>
    <w:r w:rsidRPr="0074698C">
      <w:rPr>
        <w:rFonts w:ascii="Times New Roman" w:hAnsi="Times New Roman" w:cs="Times New Roman"/>
        <w:sz w:val="20"/>
        <w:szCs w:val="20"/>
      </w:rPr>
      <w:fldChar w:fldCharType="begin"/>
    </w:r>
    <w:r w:rsidRPr="0074698C">
      <w:rPr>
        <w:rFonts w:ascii="Times New Roman" w:hAnsi="Times New Roman" w:cs="Times New Roman"/>
        <w:sz w:val="20"/>
        <w:szCs w:val="20"/>
      </w:rPr>
      <w:instrText xml:space="preserve"> PAGE   \* MERGEFORMAT </w:instrText>
    </w:r>
    <w:r w:rsidRPr="0074698C">
      <w:rPr>
        <w:rFonts w:ascii="Times New Roman" w:hAnsi="Times New Roman" w:cs="Times New Roman"/>
        <w:sz w:val="20"/>
        <w:szCs w:val="20"/>
      </w:rPr>
      <w:fldChar w:fldCharType="separate"/>
    </w:r>
    <w:r w:rsidR="0020471B">
      <w:rPr>
        <w:rFonts w:ascii="Times New Roman" w:hAnsi="Times New Roman" w:cs="Times New Roman"/>
        <w:noProof/>
        <w:sz w:val="20"/>
        <w:szCs w:val="20"/>
      </w:rPr>
      <w:t>3</w:t>
    </w:r>
    <w:r w:rsidRPr="0074698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2A" w:rsidRDefault="005E572A" w:rsidP="005E572A">
      <w:r>
        <w:separator/>
      </w:r>
    </w:p>
  </w:footnote>
  <w:footnote w:type="continuationSeparator" w:id="0">
    <w:p w:rsidR="005E572A" w:rsidRDefault="005E572A" w:rsidP="005E572A">
      <w:r>
        <w:continuationSeparator/>
      </w:r>
    </w:p>
  </w:footnote>
  <w:footnote w:id="1">
    <w:p w:rsidR="00431C2A" w:rsidRDefault="00431C2A" w:rsidP="00431C2A">
      <w:pPr>
        <w:pStyle w:val="FootnoteText"/>
        <w:rPr>
          <w:rFonts w:cs="Times New Roman"/>
        </w:rPr>
      </w:pPr>
      <w:r>
        <w:rPr>
          <w:rStyle w:val="FootnoteReference"/>
        </w:rPr>
        <w:footnoteRef/>
      </w:r>
      <w:r>
        <w:rPr>
          <w:rFonts w:cs="Times New Roman"/>
        </w:rPr>
        <w:t xml:space="preserve"> </w:t>
      </w:r>
      <w:r w:rsidR="00DA1864" w:rsidRPr="00DA1864">
        <w:rPr>
          <w:rFonts w:cs="Times New Roman"/>
          <w:i/>
        </w:rPr>
        <w:t>R &amp; K Associates, LLC v. New Jersey Dep't of Envtl. Prot.</w:t>
      </w:r>
      <w:r w:rsidR="00DA1864" w:rsidRPr="00DA1864">
        <w:rPr>
          <w:rFonts w:cs="Times New Roman"/>
        </w:rPr>
        <w:t>, A-4177-14T1, 2017 WL 1316169 (N.J. Super. Ct. App. Div. Apr. 10, 2017)</w:t>
      </w:r>
      <w:r>
        <w:rPr>
          <w:rFonts w:cs="Times New Roman"/>
        </w:rPr>
        <w:t>.</w:t>
      </w:r>
    </w:p>
  </w:footnote>
  <w:footnote w:id="2">
    <w:p w:rsidR="00D62913" w:rsidRPr="00D62913" w:rsidRDefault="00D62913">
      <w:pPr>
        <w:pStyle w:val="FootnoteText"/>
      </w:pPr>
      <w:r>
        <w:rPr>
          <w:rStyle w:val="FootnoteReference"/>
        </w:rPr>
        <w:footnoteRef/>
      </w:r>
      <w:r>
        <w:t xml:space="preserve"> </w:t>
      </w:r>
      <w:r>
        <w:rPr>
          <w:i/>
        </w:rPr>
        <w:t>Id.</w:t>
      </w:r>
      <w:r>
        <w:t xml:space="preserve"> at *1, *3.</w:t>
      </w:r>
    </w:p>
  </w:footnote>
  <w:footnote w:id="3">
    <w:p w:rsidR="00431C2A" w:rsidRDefault="00431C2A" w:rsidP="00431C2A">
      <w:pPr>
        <w:pStyle w:val="FootnoteText"/>
      </w:pPr>
      <w:r>
        <w:rPr>
          <w:rStyle w:val="FootnoteReference"/>
        </w:rPr>
        <w:footnoteRef/>
      </w:r>
      <w:r>
        <w:t xml:space="preserve"> </w:t>
      </w:r>
      <w:r>
        <w:rPr>
          <w:i/>
        </w:rPr>
        <w:t xml:space="preserve">Id. </w:t>
      </w:r>
      <w:r w:rsidR="00EF6CBF">
        <w:t xml:space="preserve">at </w:t>
      </w:r>
      <w:r w:rsidR="006327FC">
        <w:t>*</w:t>
      </w:r>
      <w:r w:rsidR="00EF6CBF">
        <w:t xml:space="preserve">4 (citing </w:t>
      </w:r>
      <w:r w:rsidR="00EF6CBF">
        <w:rPr>
          <w:i/>
        </w:rPr>
        <w:t>Simpkins v. Saiani</w:t>
      </w:r>
      <w:r w:rsidR="00EF6CBF">
        <w:t>, 365 N.J. Super. 26, 31 (App. Div. 2002))</w:t>
      </w:r>
      <w:r>
        <w:t>.</w:t>
      </w:r>
    </w:p>
  </w:footnote>
  <w:footnote w:id="4">
    <w:p w:rsidR="006C1899" w:rsidRPr="006C1899" w:rsidRDefault="006C1899">
      <w:pPr>
        <w:pStyle w:val="FootnoteText"/>
      </w:pPr>
      <w:r>
        <w:rPr>
          <w:rStyle w:val="FootnoteReference"/>
        </w:rPr>
        <w:footnoteRef/>
      </w:r>
      <w:r>
        <w:t xml:space="preserve"> </w:t>
      </w:r>
      <w:r>
        <w:rPr>
          <w:i/>
        </w:rPr>
        <w:t>Id.</w:t>
      </w:r>
      <w:r>
        <w:t xml:space="preserve"> at *6.</w:t>
      </w:r>
    </w:p>
  </w:footnote>
  <w:footnote w:id="5">
    <w:p w:rsidR="000179BD" w:rsidRPr="000179BD" w:rsidRDefault="000179BD">
      <w:pPr>
        <w:pStyle w:val="FootnoteText"/>
      </w:pPr>
      <w:r>
        <w:rPr>
          <w:rStyle w:val="FootnoteReference"/>
        </w:rPr>
        <w:footnoteRef/>
      </w:r>
      <w:r>
        <w:t xml:space="preserve"> </w:t>
      </w:r>
      <w:r>
        <w:rPr>
          <w:i/>
        </w:rPr>
        <w:t xml:space="preserve">Id. </w:t>
      </w:r>
      <w:r>
        <w:t xml:space="preserve">at </w:t>
      </w:r>
      <w:r w:rsidR="006327FC">
        <w:t>*</w:t>
      </w:r>
      <w:r>
        <w:t>1.</w:t>
      </w:r>
    </w:p>
  </w:footnote>
  <w:footnote w:id="6">
    <w:p w:rsidR="000179BD" w:rsidRPr="006327FC" w:rsidRDefault="000179BD">
      <w:pPr>
        <w:pStyle w:val="FootnoteText"/>
      </w:pPr>
      <w:r>
        <w:rPr>
          <w:rStyle w:val="FootnoteReference"/>
        </w:rPr>
        <w:footnoteRef/>
      </w:r>
      <w:r>
        <w:t xml:space="preserve"> </w:t>
      </w:r>
      <w:r w:rsidR="006327FC">
        <w:rPr>
          <w:i/>
        </w:rPr>
        <w:t>Id.</w:t>
      </w:r>
      <w:r w:rsidR="006327FC">
        <w:t xml:space="preserve"> at *2.</w:t>
      </w:r>
    </w:p>
  </w:footnote>
  <w:footnote w:id="7">
    <w:p w:rsidR="006327FC" w:rsidRPr="006327FC" w:rsidRDefault="006327FC">
      <w:pPr>
        <w:pStyle w:val="FootnoteText"/>
        <w:rPr>
          <w:i/>
        </w:rPr>
      </w:pPr>
      <w:r>
        <w:rPr>
          <w:rStyle w:val="FootnoteReference"/>
        </w:rPr>
        <w:footnoteRef/>
      </w:r>
      <w:r>
        <w:t xml:space="preserve"> </w:t>
      </w:r>
      <w:r>
        <w:rPr>
          <w:i/>
        </w:rPr>
        <w:t>Id.</w:t>
      </w:r>
    </w:p>
  </w:footnote>
  <w:footnote w:id="8">
    <w:p w:rsidR="009C7D11" w:rsidRPr="009C7D11" w:rsidRDefault="009C7D11">
      <w:pPr>
        <w:pStyle w:val="FootnoteText"/>
        <w:rPr>
          <w:i/>
        </w:rPr>
      </w:pPr>
      <w:r>
        <w:rPr>
          <w:rStyle w:val="FootnoteReference"/>
        </w:rPr>
        <w:footnoteRef/>
      </w:r>
      <w:r>
        <w:t xml:space="preserve"> </w:t>
      </w:r>
      <w:r>
        <w:rPr>
          <w:i/>
        </w:rPr>
        <w:t>Id.</w:t>
      </w:r>
    </w:p>
  </w:footnote>
  <w:footnote w:id="9">
    <w:p w:rsidR="000852FF" w:rsidRPr="000852FF" w:rsidRDefault="000852FF">
      <w:pPr>
        <w:pStyle w:val="FootnoteText"/>
        <w:rPr>
          <w:i/>
        </w:rPr>
      </w:pPr>
      <w:r>
        <w:rPr>
          <w:rStyle w:val="FootnoteReference"/>
        </w:rPr>
        <w:footnoteRef/>
      </w:r>
      <w:r>
        <w:t xml:space="preserve"> </w:t>
      </w:r>
      <w:r>
        <w:rPr>
          <w:i/>
        </w:rPr>
        <w:t>Id.</w:t>
      </w:r>
    </w:p>
  </w:footnote>
  <w:footnote w:id="10">
    <w:p w:rsidR="00745DEF" w:rsidRPr="00745DEF" w:rsidRDefault="00745DEF">
      <w:pPr>
        <w:pStyle w:val="FootnoteText"/>
      </w:pPr>
      <w:r>
        <w:rPr>
          <w:rStyle w:val="FootnoteReference"/>
        </w:rPr>
        <w:footnoteRef/>
      </w:r>
      <w:r>
        <w:t xml:space="preserve"> </w:t>
      </w:r>
      <w:r>
        <w:rPr>
          <w:i/>
        </w:rPr>
        <w:t>Id.</w:t>
      </w:r>
    </w:p>
  </w:footnote>
  <w:footnote w:id="11">
    <w:p w:rsidR="000852FF" w:rsidRPr="000852FF" w:rsidRDefault="000852FF">
      <w:pPr>
        <w:pStyle w:val="FootnoteText"/>
        <w:rPr>
          <w:i/>
        </w:rPr>
      </w:pPr>
      <w:r>
        <w:rPr>
          <w:rStyle w:val="FootnoteReference"/>
        </w:rPr>
        <w:footnoteRef/>
      </w:r>
      <w:r>
        <w:t xml:space="preserve"> </w:t>
      </w:r>
      <w:r>
        <w:rPr>
          <w:i/>
        </w:rPr>
        <w:t>Id.</w:t>
      </w:r>
    </w:p>
  </w:footnote>
  <w:footnote w:id="12">
    <w:p w:rsidR="00BA621C" w:rsidRPr="00BA621C" w:rsidRDefault="00BA621C">
      <w:pPr>
        <w:pStyle w:val="FootnoteText"/>
        <w:rPr>
          <w:i/>
        </w:rPr>
      </w:pPr>
      <w:r>
        <w:rPr>
          <w:rStyle w:val="FootnoteReference"/>
        </w:rPr>
        <w:footnoteRef/>
      </w:r>
      <w:r>
        <w:t xml:space="preserve"> </w:t>
      </w:r>
      <w:r>
        <w:rPr>
          <w:i/>
        </w:rPr>
        <w:t>Id.</w:t>
      </w:r>
    </w:p>
  </w:footnote>
  <w:footnote w:id="13">
    <w:p w:rsidR="00A50E91" w:rsidRPr="00A50E91" w:rsidRDefault="00A50E91">
      <w:pPr>
        <w:pStyle w:val="FootnoteText"/>
      </w:pPr>
      <w:r>
        <w:rPr>
          <w:rStyle w:val="FootnoteReference"/>
        </w:rPr>
        <w:footnoteRef/>
      </w:r>
      <w:r>
        <w:t xml:space="preserve"> </w:t>
      </w:r>
      <w:r>
        <w:rPr>
          <w:i/>
        </w:rPr>
        <w:t xml:space="preserve">Id. </w:t>
      </w:r>
      <w:r>
        <w:t>at *3.</w:t>
      </w:r>
    </w:p>
  </w:footnote>
  <w:footnote w:id="14">
    <w:p w:rsidR="004C25DE" w:rsidRPr="004C25DE" w:rsidRDefault="004C25DE">
      <w:pPr>
        <w:pStyle w:val="FootnoteText"/>
        <w:rPr>
          <w:i/>
        </w:rPr>
      </w:pPr>
      <w:r>
        <w:rPr>
          <w:rStyle w:val="FootnoteReference"/>
        </w:rPr>
        <w:footnoteRef/>
      </w:r>
      <w:r>
        <w:t xml:space="preserve"> </w:t>
      </w:r>
      <w:r>
        <w:rPr>
          <w:i/>
        </w:rPr>
        <w:t>Id.</w:t>
      </w:r>
    </w:p>
  </w:footnote>
  <w:footnote w:id="15">
    <w:p w:rsidR="00754388" w:rsidRPr="00A805CA" w:rsidRDefault="00754388">
      <w:pPr>
        <w:pStyle w:val="FootnoteText"/>
      </w:pPr>
      <w:r>
        <w:rPr>
          <w:rStyle w:val="FootnoteReference"/>
        </w:rPr>
        <w:footnoteRef/>
      </w:r>
      <w:r>
        <w:t xml:space="preserve"> </w:t>
      </w:r>
      <w:r w:rsidR="00A805CA">
        <w:rPr>
          <w:i/>
        </w:rPr>
        <w:t>Id.</w:t>
      </w:r>
      <w:r w:rsidR="00A805CA">
        <w:t xml:space="preserve"> at *6.</w:t>
      </w:r>
    </w:p>
  </w:footnote>
  <w:footnote w:id="16">
    <w:p w:rsidR="00A805CA" w:rsidRPr="00A805CA" w:rsidRDefault="00A805CA">
      <w:pPr>
        <w:pStyle w:val="FootnoteText"/>
      </w:pPr>
      <w:r>
        <w:rPr>
          <w:rStyle w:val="FootnoteReference"/>
        </w:rPr>
        <w:footnoteRef/>
      </w:r>
      <w:r>
        <w:t xml:space="preserve"> </w:t>
      </w:r>
      <w:r>
        <w:rPr>
          <w:i/>
        </w:rPr>
        <w:t>Id.</w:t>
      </w:r>
      <w:r>
        <w:t xml:space="preserve"> at </w:t>
      </w:r>
      <w:r w:rsidR="006E0F8E">
        <w:t>*3-*4.</w:t>
      </w:r>
    </w:p>
  </w:footnote>
  <w:footnote w:id="17">
    <w:p w:rsidR="008A689D" w:rsidRDefault="008A689D">
      <w:pPr>
        <w:pStyle w:val="FootnoteText"/>
      </w:pPr>
      <w:r>
        <w:rPr>
          <w:rStyle w:val="FootnoteReference"/>
        </w:rPr>
        <w:footnoteRef/>
      </w:r>
      <w:r>
        <w:t xml:space="preserve"> </w:t>
      </w:r>
      <w:r w:rsidR="006E0F8E" w:rsidRPr="00427D62">
        <w:t>N.J.S.</w:t>
      </w:r>
      <w:r w:rsidRPr="00427D62">
        <w:t xml:space="preserve"> </w:t>
      </w:r>
      <w:r w:rsidRPr="008A689D">
        <w:t>13:1K-9.7</w:t>
      </w:r>
      <w:r>
        <w:t>.</w:t>
      </w:r>
    </w:p>
  </w:footnote>
  <w:footnote w:id="18">
    <w:p w:rsidR="00CE1BAD" w:rsidRPr="00CE1BAD" w:rsidRDefault="00CE1BAD">
      <w:pPr>
        <w:pStyle w:val="FootnoteText"/>
      </w:pPr>
      <w:r>
        <w:rPr>
          <w:rStyle w:val="FootnoteReference"/>
        </w:rPr>
        <w:footnoteRef/>
      </w:r>
      <w:r>
        <w:t xml:space="preserve"> </w:t>
      </w:r>
      <w:r>
        <w:rPr>
          <w:i/>
        </w:rPr>
        <w:t>R &amp; K</w:t>
      </w:r>
      <w:r>
        <w:t>, 2017 WL 1316169 at *3.</w:t>
      </w:r>
    </w:p>
  </w:footnote>
  <w:footnote w:id="19">
    <w:p w:rsidR="00CC5388" w:rsidRDefault="00CC5388">
      <w:pPr>
        <w:pStyle w:val="FootnoteText"/>
      </w:pPr>
      <w:r>
        <w:rPr>
          <w:rStyle w:val="FootnoteReference"/>
        </w:rPr>
        <w:footnoteRef/>
      </w:r>
      <w:r>
        <w:t xml:space="preserve"> </w:t>
      </w:r>
      <w:r w:rsidRPr="00CC5388">
        <w:t>(</w:t>
      </w:r>
      <w:r w:rsidR="00BB3003">
        <w:t>providing</w:t>
      </w:r>
      <w:r w:rsidRPr="00CC5388">
        <w:t xml:space="preserve"> that foreclosure shall not relieve the previous owner or operator of his duty to remediate).</w:t>
      </w:r>
    </w:p>
  </w:footnote>
  <w:footnote w:id="20">
    <w:p w:rsidR="000E0EF6" w:rsidRPr="000E0EF6" w:rsidRDefault="000E0EF6">
      <w:pPr>
        <w:pStyle w:val="FootnoteText"/>
      </w:pPr>
      <w:r>
        <w:rPr>
          <w:rStyle w:val="FootnoteReference"/>
        </w:rPr>
        <w:footnoteRef/>
      </w:r>
      <w:r>
        <w:t xml:space="preserve"> </w:t>
      </w:r>
      <w:r>
        <w:rPr>
          <w:i/>
        </w:rPr>
        <w:t>Id.</w:t>
      </w:r>
      <w:r>
        <w:t xml:space="preserve"> at *4.</w:t>
      </w:r>
    </w:p>
  </w:footnote>
  <w:footnote w:id="21">
    <w:p w:rsidR="00923901" w:rsidRPr="00343FAC" w:rsidRDefault="00923901">
      <w:pPr>
        <w:pStyle w:val="FootnoteText"/>
      </w:pPr>
      <w:r>
        <w:rPr>
          <w:rStyle w:val="FootnoteReference"/>
        </w:rPr>
        <w:footnoteRef/>
      </w:r>
      <w:r>
        <w:t xml:space="preserve"> </w:t>
      </w:r>
      <w:r>
        <w:rPr>
          <w:i/>
        </w:rPr>
        <w:t>Id.</w:t>
      </w:r>
      <w:r w:rsidR="00343FAC">
        <w:rPr>
          <w:i/>
        </w:rPr>
        <w:t xml:space="preserve"> </w:t>
      </w:r>
      <w:r w:rsidR="00BB3003">
        <w:t>(cit</w:t>
      </w:r>
      <w:r w:rsidR="004A68BC">
        <w:t>ing</w:t>
      </w:r>
      <w:r w:rsidR="00343FAC">
        <w:t xml:space="preserve"> </w:t>
      </w:r>
      <w:r w:rsidR="00343FAC">
        <w:rPr>
          <w:i/>
        </w:rPr>
        <w:t>Des Champs Laboratories, Inc. v. Martin</w:t>
      </w:r>
      <w:r w:rsidR="00343FAC">
        <w:t>, 427 N.J. Super. 84</w:t>
      </w:r>
      <w:r w:rsidR="00BB3003">
        <w:t>, 96</w:t>
      </w:r>
      <w:r w:rsidR="00343FAC">
        <w:t xml:space="preserve"> (App. Div. 2012)</w:t>
      </w:r>
      <w:r w:rsidR="00BB3003">
        <w:t>; N.J.S. 13:1K-7.</w:t>
      </w:r>
      <w:r w:rsidR="00343FAC">
        <w:t>).</w:t>
      </w:r>
    </w:p>
  </w:footnote>
  <w:footnote w:id="22">
    <w:p w:rsidR="000A6BC2" w:rsidRPr="000A6BC2" w:rsidRDefault="000A6BC2">
      <w:pPr>
        <w:pStyle w:val="FootnoteText"/>
      </w:pPr>
      <w:r>
        <w:rPr>
          <w:rStyle w:val="FootnoteReference"/>
        </w:rPr>
        <w:footnoteRef/>
      </w:r>
      <w:r>
        <w:t xml:space="preserve"> </w:t>
      </w:r>
      <w:r>
        <w:rPr>
          <w:i/>
        </w:rPr>
        <w:t>Id.</w:t>
      </w:r>
      <w:r>
        <w:t xml:space="preserve"> (</w:t>
      </w:r>
      <w:r w:rsidR="004A68BC">
        <w:t>quoting</w:t>
      </w:r>
      <w:r>
        <w:t xml:space="preserve"> </w:t>
      </w:r>
      <w:r>
        <w:rPr>
          <w:i/>
        </w:rPr>
        <w:t>Des Champs</w:t>
      </w:r>
      <w:r>
        <w:t>, 427 N.J. Super. at 94).</w:t>
      </w:r>
    </w:p>
  </w:footnote>
  <w:footnote w:id="23">
    <w:p w:rsidR="001C4477" w:rsidRPr="001C4477" w:rsidRDefault="001C4477">
      <w:pPr>
        <w:pStyle w:val="FootnoteText"/>
      </w:pPr>
      <w:r>
        <w:rPr>
          <w:rStyle w:val="FootnoteReference"/>
        </w:rPr>
        <w:footnoteRef/>
      </w:r>
      <w:r>
        <w:t xml:space="preserve"> </w:t>
      </w:r>
      <w:r>
        <w:rPr>
          <w:i/>
        </w:rPr>
        <w:t>Id.</w:t>
      </w:r>
    </w:p>
  </w:footnote>
  <w:footnote w:id="24">
    <w:p w:rsidR="00F51C23" w:rsidRPr="006753C3" w:rsidRDefault="00F51C23">
      <w:pPr>
        <w:pStyle w:val="FootnoteText"/>
      </w:pPr>
      <w:r>
        <w:rPr>
          <w:rStyle w:val="FootnoteReference"/>
        </w:rPr>
        <w:footnoteRef/>
      </w:r>
      <w:r>
        <w:t xml:space="preserve"> </w:t>
      </w:r>
      <w:r w:rsidR="00CE1BAD">
        <w:rPr>
          <w:i/>
        </w:rPr>
        <w:t>Id.</w:t>
      </w:r>
    </w:p>
  </w:footnote>
  <w:footnote w:id="25">
    <w:p w:rsidR="00F42E1C" w:rsidRPr="00F42E1C" w:rsidRDefault="00F42E1C">
      <w:pPr>
        <w:pStyle w:val="FootnoteText"/>
      </w:pPr>
      <w:r>
        <w:rPr>
          <w:rStyle w:val="FootnoteReference"/>
        </w:rPr>
        <w:footnoteRef/>
      </w:r>
      <w:r>
        <w:t xml:space="preserve"> </w:t>
      </w:r>
      <w:r>
        <w:rPr>
          <w:i/>
        </w:rPr>
        <w:t>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2A"/>
    <w:rsid w:val="00014F21"/>
    <w:rsid w:val="000179BD"/>
    <w:rsid w:val="0005769B"/>
    <w:rsid w:val="00067EBC"/>
    <w:rsid w:val="000852FF"/>
    <w:rsid w:val="000A6BC2"/>
    <w:rsid w:val="000C2E35"/>
    <w:rsid w:val="000E0EF6"/>
    <w:rsid w:val="000E74F9"/>
    <w:rsid w:val="000F0BAF"/>
    <w:rsid w:val="000F0E59"/>
    <w:rsid w:val="0010455D"/>
    <w:rsid w:val="001136A8"/>
    <w:rsid w:val="00123E65"/>
    <w:rsid w:val="0013497A"/>
    <w:rsid w:val="0014289A"/>
    <w:rsid w:val="00152055"/>
    <w:rsid w:val="00152C5E"/>
    <w:rsid w:val="001C43AE"/>
    <w:rsid w:val="001C4477"/>
    <w:rsid w:val="001E7ADB"/>
    <w:rsid w:val="00200BDE"/>
    <w:rsid w:val="0020471B"/>
    <w:rsid w:val="00225A83"/>
    <w:rsid w:val="00237A1C"/>
    <w:rsid w:val="00250847"/>
    <w:rsid w:val="002C040D"/>
    <w:rsid w:val="0030409E"/>
    <w:rsid w:val="00343FAC"/>
    <w:rsid w:val="00354A48"/>
    <w:rsid w:val="00392474"/>
    <w:rsid w:val="003D2CAF"/>
    <w:rsid w:val="003D6778"/>
    <w:rsid w:val="00427D62"/>
    <w:rsid w:val="00431C2A"/>
    <w:rsid w:val="00434904"/>
    <w:rsid w:val="00453BD5"/>
    <w:rsid w:val="004A68BC"/>
    <w:rsid w:val="004C25DE"/>
    <w:rsid w:val="004C72F3"/>
    <w:rsid w:val="00525C61"/>
    <w:rsid w:val="0054212B"/>
    <w:rsid w:val="005A3AAC"/>
    <w:rsid w:val="005C111F"/>
    <w:rsid w:val="005D0535"/>
    <w:rsid w:val="005E572A"/>
    <w:rsid w:val="005F3A2E"/>
    <w:rsid w:val="0061683C"/>
    <w:rsid w:val="006327FC"/>
    <w:rsid w:val="006329C9"/>
    <w:rsid w:val="006414B0"/>
    <w:rsid w:val="006704FC"/>
    <w:rsid w:val="006718F9"/>
    <w:rsid w:val="006753C3"/>
    <w:rsid w:val="00683B45"/>
    <w:rsid w:val="006C1899"/>
    <w:rsid w:val="006C4724"/>
    <w:rsid w:val="006E0F8E"/>
    <w:rsid w:val="006F7CA2"/>
    <w:rsid w:val="007350A4"/>
    <w:rsid w:val="00745DEF"/>
    <w:rsid w:val="00754388"/>
    <w:rsid w:val="00765914"/>
    <w:rsid w:val="007C3068"/>
    <w:rsid w:val="007D30F5"/>
    <w:rsid w:val="007F3496"/>
    <w:rsid w:val="0083254F"/>
    <w:rsid w:val="0083751D"/>
    <w:rsid w:val="0084181B"/>
    <w:rsid w:val="00853A15"/>
    <w:rsid w:val="00870FC7"/>
    <w:rsid w:val="008A689D"/>
    <w:rsid w:val="008F07A4"/>
    <w:rsid w:val="00901396"/>
    <w:rsid w:val="009045DE"/>
    <w:rsid w:val="00923901"/>
    <w:rsid w:val="00964C69"/>
    <w:rsid w:val="0098544D"/>
    <w:rsid w:val="009B00E2"/>
    <w:rsid w:val="009C7D11"/>
    <w:rsid w:val="009F1467"/>
    <w:rsid w:val="00A01401"/>
    <w:rsid w:val="00A25C2A"/>
    <w:rsid w:val="00A50E91"/>
    <w:rsid w:val="00A5203F"/>
    <w:rsid w:val="00A805CA"/>
    <w:rsid w:val="00AE30CD"/>
    <w:rsid w:val="00B548EA"/>
    <w:rsid w:val="00B750B5"/>
    <w:rsid w:val="00BA621C"/>
    <w:rsid w:val="00BB3003"/>
    <w:rsid w:val="00BC0C3F"/>
    <w:rsid w:val="00BC4277"/>
    <w:rsid w:val="00BE5D0B"/>
    <w:rsid w:val="00C117D0"/>
    <w:rsid w:val="00CA1C3E"/>
    <w:rsid w:val="00CB70FB"/>
    <w:rsid w:val="00CC5388"/>
    <w:rsid w:val="00CE1BAD"/>
    <w:rsid w:val="00D62913"/>
    <w:rsid w:val="00D6783B"/>
    <w:rsid w:val="00DA1864"/>
    <w:rsid w:val="00DC0346"/>
    <w:rsid w:val="00DD5356"/>
    <w:rsid w:val="00DD6C2C"/>
    <w:rsid w:val="00DF5B97"/>
    <w:rsid w:val="00DF5E27"/>
    <w:rsid w:val="00E74A30"/>
    <w:rsid w:val="00E8236C"/>
    <w:rsid w:val="00EA73FC"/>
    <w:rsid w:val="00ED0011"/>
    <w:rsid w:val="00ED0F64"/>
    <w:rsid w:val="00EF6CBF"/>
    <w:rsid w:val="00F42E1C"/>
    <w:rsid w:val="00F51C23"/>
    <w:rsid w:val="00F64C99"/>
    <w:rsid w:val="00F9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22BD1-A36D-470D-A1E4-2B7223C1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2A"/>
    <w:pPr>
      <w:spacing w:after="0" w:line="240"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72A"/>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E572A"/>
    <w:rPr>
      <w:rFonts w:cstheme="minorBidi"/>
      <w:b w:val="0"/>
      <w:sz w:val="20"/>
      <w:szCs w:val="20"/>
    </w:rPr>
  </w:style>
  <w:style w:type="character" w:styleId="FootnoteReference">
    <w:name w:val="footnote reference"/>
    <w:basedOn w:val="DefaultParagraphFont"/>
    <w:uiPriority w:val="99"/>
    <w:semiHidden/>
    <w:unhideWhenUsed/>
    <w:rsid w:val="005E572A"/>
    <w:rPr>
      <w:rFonts w:ascii="Times New Roman" w:hAnsi="Times New Roman"/>
      <w:vertAlign w:val="superscript"/>
    </w:rPr>
  </w:style>
  <w:style w:type="paragraph" w:styleId="Footer">
    <w:name w:val="footer"/>
    <w:basedOn w:val="Normal"/>
    <w:link w:val="FooterChar"/>
    <w:uiPriority w:val="99"/>
    <w:unhideWhenUsed/>
    <w:rsid w:val="005E572A"/>
    <w:pPr>
      <w:tabs>
        <w:tab w:val="center" w:pos="4680"/>
        <w:tab w:val="right" w:pos="9360"/>
      </w:tabs>
    </w:pPr>
  </w:style>
  <w:style w:type="character" w:customStyle="1" w:styleId="FooterChar">
    <w:name w:val="Footer Char"/>
    <w:basedOn w:val="DefaultParagraphFont"/>
    <w:link w:val="Footer"/>
    <w:uiPriority w:val="99"/>
    <w:rsid w:val="005E572A"/>
    <w:rPr>
      <w:rFonts w:asciiTheme="minorHAnsi" w:hAnsiTheme="minorHAnsi" w:cstheme="minorBidi"/>
      <w:b w:val="0"/>
      <w:sz w:val="22"/>
      <w:szCs w:val="22"/>
    </w:rPr>
  </w:style>
  <w:style w:type="paragraph" w:styleId="Header">
    <w:name w:val="header"/>
    <w:basedOn w:val="Normal"/>
    <w:link w:val="HeaderChar"/>
    <w:uiPriority w:val="99"/>
    <w:unhideWhenUsed/>
    <w:rsid w:val="000E74F9"/>
    <w:pPr>
      <w:tabs>
        <w:tab w:val="center" w:pos="4680"/>
        <w:tab w:val="right" w:pos="9360"/>
      </w:tabs>
    </w:pPr>
  </w:style>
  <w:style w:type="character" w:customStyle="1" w:styleId="HeaderChar">
    <w:name w:val="Header Char"/>
    <w:basedOn w:val="DefaultParagraphFont"/>
    <w:link w:val="Header"/>
    <w:uiPriority w:val="99"/>
    <w:rsid w:val="000E74F9"/>
    <w:rPr>
      <w:rFonts w:ascii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F48CFB-790E-443E-B3CD-5ABA0D1F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1247</Words>
  <Characters>6588</Characters>
  <Application>Microsoft Office Word</Application>
  <DocSecurity>0</DocSecurity>
  <Lines>124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Clerk3</dc:creator>
  <cp:lastModifiedBy>L Tharney</cp:lastModifiedBy>
  <cp:revision>6</cp:revision>
  <dcterms:created xsi:type="dcterms:W3CDTF">2018-06-28T21:10:00Z</dcterms:created>
  <dcterms:modified xsi:type="dcterms:W3CDTF">2018-07-06T23:59:00Z</dcterms:modified>
</cp:coreProperties>
</file>