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AA1EB" w14:textId="23013B4D" w:rsidR="00431C2A" w:rsidRPr="00431C2A" w:rsidRDefault="00431C2A" w:rsidP="00171706">
      <w:pPr>
        <w:jc w:val="both"/>
        <w:rPr>
          <w:rFonts w:ascii="Times New Roman" w:hAnsi="Times New Roman" w:cs="Times New Roman"/>
          <w:b/>
          <w:sz w:val="24"/>
          <w:szCs w:val="24"/>
        </w:rPr>
      </w:pPr>
      <w:bookmarkStart w:id="0" w:name="_GoBack"/>
      <w:bookmarkEnd w:id="0"/>
      <w:r w:rsidRPr="00431C2A">
        <w:rPr>
          <w:rFonts w:ascii="Times New Roman" w:hAnsi="Times New Roman" w:cs="Times New Roman"/>
          <w:b/>
          <w:sz w:val="24"/>
          <w:szCs w:val="24"/>
        </w:rPr>
        <w:t>To:</w:t>
      </w:r>
      <w:r w:rsidRPr="00431C2A">
        <w:rPr>
          <w:rFonts w:ascii="Times New Roman" w:hAnsi="Times New Roman" w:cs="Times New Roman"/>
          <w:b/>
          <w:sz w:val="24"/>
          <w:szCs w:val="24"/>
        </w:rPr>
        <w:tab/>
      </w:r>
      <w:r w:rsidR="00601D69">
        <w:rPr>
          <w:rFonts w:ascii="Times New Roman" w:hAnsi="Times New Roman" w:cs="Times New Roman"/>
          <w:b/>
          <w:sz w:val="24"/>
          <w:szCs w:val="24"/>
        </w:rPr>
        <w:t>New Jersey Law Revision Commission</w:t>
      </w:r>
    </w:p>
    <w:p w14:paraId="697283B8" w14:textId="77777777" w:rsidR="00431C2A" w:rsidRPr="00431C2A" w:rsidRDefault="00431C2A" w:rsidP="00171706">
      <w:pPr>
        <w:jc w:val="both"/>
        <w:rPr>
          <w:rFonts w:ascii="Times New Roman" w:hAnsi="Times New Roman" w:cs="Times New Roman"/>
          <w:b/>
          <w:sz w:val="24"/>
          <w:szCs w:val="24"/>
        </w:rPr>
      </w:pPr>
      <w:r w:rsidRPr="00431C2A">
        <w:rPr>
          <w:rFonts w:ascii="Times New Roman" w:hAnsi="Times New Roman" w:cs="Times New Roman"/>
          <w:b/>
          <w:sz w:val="24"/>
          <w:szCs w:val="24"/>
        </w:rPr>
        <w:t>From:</w:t>
      </w:r>
      <w:r w:rsidRPr="00431C2A">
        <w:rPr>
          <w:rFonts w:ascii="Times New Roman" w:hAnsi="Times New Roman" w:cs="Times New Roman"/>
          <w:b/>
          <w:sz w:val="24"/>
          <w:szCs w:val="24"/>
        </w:rPr>
        <w:tab/>
        <w:t>Erik Topp</w:t>
      </w:r>
    </w:p>
    <w:p w14:paraId="69341164" w14:textId="77777777" w:rsidR="00431C2A" w:rsidRPr="00431C2A" w:rsidRDefault="00431C2A" w:rsidP="00171706">
      <w:pPr>
        <w:jc w:val="both"/>
        <w:rPr>
          <w:rFonts w:ascii="Times New Roman" w:hAnsi="Times New Roman" w:cs="Times New Roman"/>
          <w:b/>
          <w:i/>
          <w:sz w:val="24"/>
          <w:szCs w:val="24"/>
        </w:rPr>
      </w:pPr>
      <w:r w:rsidRPr="00431C2A">
        <w:rPr>
          <w:rFonts w:ascii="Times New Roman" w:hAnsi="Times New Roman" w:cs="Times New Roman"/>
          <w:b/>
          <w:sz w:val="24"/>
          <w:szCs w:val="24"/>
        </w:rPr>
        <w:t>Re:</w:t>
      </w:r>
      <w:r w:rsidRPr="00431C2A">
        <w:rPr>
          <w:rFonts w:ascii="Times New Roman" w:hAnsi="Times New Roman" w:cs="Times New Roman"/>
          <w:b/>
          <w:sz w:val="24"/>
          <w:szCs w:val="24"/>
        </w:rPr>
        <w:tab/>
      </w:r>
      <w:r w:rsidR="00BD48D4">
        <w:rPr>
          <w:rFonts w:ascii="Times New Roman" w:hAnsi="Times New Roman" w:cs="Times New Roman"/>
          <w:b/>
          <w:sz w:val="24"/>
          <w:szCs w:val="24"/>
        </w:rPr>
        <w:t>Sidewalk Tort Liability</w:t>
      </w:r>
    </w:p>
    <w:p w14:paraId="0D8C2A95" w14:textId="37D8E39C" w:rsidR="00431C2A" w:rsidRPr="00431C2A" w:rsidRDefault="00870FC7" w:rsidP="00171706">
      <w:pPr>
        <w:jc w:val="both"/>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sidR="00601D69">
        <w:rPr>
          <w:rFonts w:ascii="Times New Roman" w:hAnsi="Times New Roman" w:cs="Times New Roman"/>
          <w:b/>
          <w:sz w:val="24"/>
          <w:szCs w:val="24"/>
        </w:rPr>
        <w:t>April 9</w:t>
      </w:r>
      <w:r w:rsidR="00BD48D4">
        <w:rPr>
          <w:rFonts w:ascii="Times New Roman" w:hAnsi="Times New Roman" w:cs="Times New Roman"/>
          <w:b/>
          <w:sz w:val="24"/>
          <w:szCs w:val="24"/>
        </w:rPr>
        <w:t>, 2018</w:t>
      </w:r>
    </w:p>
    <w:p w14:paraId="554A5644" w14:textId="77777777" w:rsidR="00431C2A" w:rsidRPr="00431C2A" w:rsidRDefault="00431C2A" w:rsidP="00171706">
      <w:pPr>
        <w:tabs>
          <w:tab w:val="left" w:pos="1945"/>
        </w:tabs>
        <w:jc w:val="both"/>
        <w:rPr>
          <w:rFonts w:ascii="Times New Roman" w:hAnsi="Times New Roman" w:cs="Times New Roman"/>
          <w:b/>
          <w:sz w:val="24"/>
          <w:szCs w:val="24"/>
        </w:rPr>
      </w:pPr>
      <w:r w:rsidRPr="00431C2A">
        <w:rPr>
          <w:rFonts w:ascii="Times New Roman" w:hAnsi="Times New Roman" w:cs="Times New Roman"/>
          <w:b/>
          <w:sz w:val="24"/>
          <w:szCs w:val="24"/>
        </w:rPr>
        <w:tab/>
      </w:r>
    </w:p>
    <w:p w14:paraId="1FDC5B20" w14:textId="77777777" w:rsidR="00431C2A" w:rsidRPr="00431C2A" w:rsidRDefault="00431C2A" w:rsidP="00171706">
      <w:pPr>
        <w:jc w:val="center"/>
        <w:rPr>
          <w:rFonts w:ascii="Times New Roman" w:hAnsi="Times New Roman" w:cs="Times New Roman"/>
          <w:b/>
          <w:sz w:val="24"/>
          <w:szCs w:val="24"/>
        </w:rPr>
      </w:pPr>
      <w:r w:rsidRPr="00431C2A">
        <w:rPr>
          <w:rFonts w:ascii="Times New Roman" w:hAnsi="Times New Roman" w:cs="Times New Roman"/>
          <w:b/>
          <w:sz w:val="24"/>
          <w:szCs w:val="24"/>
        </w:rPr>
        <w:t>M E M O R A N D U M</w:t>
      </w:r>
    </w:p>
    <w:p w14:paraId="63A0AE18" w14:textId="77777777" w:rsidR="00431C2A" w:rsidRPr="00431C2A" w:rsidRDefault="00431C2A" w:rsidP="00171706">
      <w:pPr>
        <w:jc w:val="center"/>
        <w:rPr>
          <w:rFonts w:ascii="Times New Roman" w:hAnsi="Times New Roman" w:cs="Times New Roman"/>
          <w:b/>
          <w:sz w:val="24"/>
          <w:szCs w:val="24"/>
        </w:rPr>
      </w:pPr>
    </w:p>
    <w:p w14:paraId="2643B5E6" w14:textId="77777777" w:rsidR="00431C2A" w:rsidRPr="00431C2A" w:rsidRDefault="00431C2A" w:rsidP="00171706">
      <w:pPr>
        <w:jc w:val="center"/>
        <w:rPr>
          <w:rFonts w:ascii="Times New Roman" w:hAnsi="Times New Roman" w:cs="Times New Roman"/>
          <w:b/>
          <w:sz w:val="24"/>
          <w:szCs w:val="24"/>
        </w:rPr>
      </w:pPr>
      <w:r w:rsidRPr="00431C2A">
        <w:rPr>
          <w:rFonts w:ascii="Times New Roman" w:hAnsi="Times New Roman" w:cs="Times New Roman"/>
          <w:b/>
          <w:sz w:val="24"/>
          <w:szCs w:val="24"/>
        </w:rPr>
        <w:t>Executive Summary</w:t>
      </w:r>
    </w:p>
    <w:p w14:paraId="0EA5F09B" w14:textId="77777777" w:rsidR="00431C2A" w:rsidRDefault="00431C2A" w:rsidP="00171706">
      <w:pPr>
        <w:jc w:val="both"/>
        <w:rPr>
          <w:rFonts w:ascii="Times New Roman" w:hAnsi="Times New Roman" w:cs="Times New Roman"/>
          <w:sz w:val="24"/>
          <w:szCs w:val="24"/>
        </w:rPr>
      </w:pPr>
    </w:p>
    <w:p w14:paraId="0F0C18B1" w14:textId="2500E2B9" w:rsidR="00431C2A" w:rsidRPr="001F2A62" w:rsidRDefault="001F2A62" w:rsidP="00171706">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June 2016, the Commission authorized staff to conduct additional research and outreach on a project examining sidewalk tort liability. </w:t>
      </w:r>
      <w:r w:rsidR="00764795">
        <w:rPr>
          <w:rFonts w:ascii="Times New Roman" w:hAnsi="Times New Roman" w:cs="Times New Roman"/>
          <w:sz w:val="24"/>
          <w:szCs w:val="24"/>
        </w:rPr>
        <w:t xml:space="preserve">This </w:t>
      </w:r>
      <w:r w:rsidR="00321B30">
        <w:rPr>
          <w:rFonts w:ascii="Times New Roman" w:hAnsi="Times New Roman" w:cs="Times New Roman"/>
          <w:sz w:val="24"/>
          <w:szCs w:val="24"/>
        </w:rPr>
        <w:t xml:space="preserve">project was designed to focus on the “gray area” wherein properties have a hybrid form of ownership (i.e. a condominium association, which can be considered residential or commercial property). However, the nature of the issue is so inherently subjective that it </w:t>
      </w:r>
      <w:r w:rsidR="00601D69">
        <w:rPr>
          <w:rFonts w:ascii="Times New Roman" w:hAnsi="Times New Roman" w:cs="Times New Roman"/>
          <w:sz w:val="24"/>
          <w:szCs w:val="24"/>
        </w:rPr>
        <w:t>may be</w:t>
      </w:r>
      <w:r w:rsidR="00321B30">
        <w:rPr>
          <w:rFonts w:ascii="Times New Roman" w:hAnsi="Times New Roman" w:cs="Times New Roman"/>
          <w:sz w:val="24"/>
          <w:szCs w:val="24"/>
        </w:rPr>
        <w:t xml:space="preserve"> </w:t>
      </w:r>
      <w:r w:rsidR="00DD17B4">
        <w:rPr>
          <w:rFonts w:ascii="Times New Roman" w:hAnsi="Times New Roman" w:cs="Times New Roman"/>
          <w:sz w:val="24"/>
          <w:szCs w:val="24"/>
        </w:rPr>
        <w:t xml:space="preserve">almost </w:t>
      </w:r>
      <w:r w:rsidR="00321B30">
        <w:rPr>
          <w:rFonts w:ascii="Times New Roman" w:hAnsi="Times New Roman" w:cs="Times New Roman"/>
          <w:sz w:val="24"/>
          <w:szCs w:val="24"/>
        </w:rPr>
        <w:t>impossible to craft a non-arbitrary statutory standard</w:t>
      </w:r>
      <w:r w:rsidR="00D444D2">
        <w:rPr>
          <w:rFonts w:ascii="Times New Roman" w:hAnsi="Times New Roman" w:cs="Times New Roman"/>
          <w:sz w:val="24"/>
          <w:szCs w:val="24"/>
        </w:rPr>
        <w:t xml:space="preserve">; accordingly, </w:t>
      </w:r>
      <w:r w:rsidR="00601D69">
        <w:rPr>
          <w:rFonts w:ascii="Times New Roman" w:hAnsi="Times New Roman" w:cs="Times New Roman"/>
          <w:sz w:val="24"/>
          <w:szCs w:val="24"/>
        </w:rPr>
        <w:t xml:space="preserve">the best approach at the present time may be </w:t>
      </w:r>
      <w:r w:rsidR="00793C69">
        <w:rPr>
          <w:rFonts w:ascii="Times New Roman" w:hAnsi="Times New Roman" w:cs="Times New Roman"/>
          <w:sz w:val="24"/>
          <w:szCs w:val="24"/>
        </w:rPr>
        <w:t>to leave the standards as they are</w:t>
      </w:r>
      <w:r w:rsidR="00D444D2">
        <w:rPr>
          <w:rFonts w:ascii="Times New Roman" w:hAnsi="Times New Roman" w:cs="Times New Roman"/>
          <w:sz w:val="24"/>
          <w:szCs w:val="24"/>
        </w:rPr>
        <w:t>.</w:t>
      </w:r>
    </w:p>
    <w:p w14:paraId="5E1C027C" w14:textId="77777777" w:rsidR="00431C2A" w:rsidRDefault="00431C2A" w:rsidP="00171706">
      <w:pPr>
        <w:spacing w:line="276" w:lineRule="auto"/>
        <w:jc w:val="both"/>
        <w:rPr>
          <w:rFonts w:ascii="Times New Roman" w:hAnsi="Times New Roman" w:cs="Times New Roman"/>
          <w:sz w:val="24"/>
          <w:szCs w:val="24"/>
        </w:rPr>
      </w:pPr>
    </w:p>
    <w:p w14:paraId="7398341F" w14:textId="77777777" w:rsidR="00431C2A" w:rsidRPr="00431C2A" w:rsidRDefault="00431C2A" w:rsidP="00171706">
      <w:pPr>
        <w:spacing w:line="276" w:lineRule="auto"/>
        <w:jc w:val="center"/>
        <w:rPr>
          <w:rFonts w:ascii="Times New Roman" w:hAnsi="Times New Roman" w:cs="Times New Roman"/>
          <w:b/>
          <w:sz w:val="24"/>
          <w:szCs w:val="24"/>
        </w:rPr>
      </w:pPr>
      <w:r w:rsidRPr="00431C2A">
        <w:rPr>
          <w:rFonts w:ascii="Times New Roman" w:hAnsi="Times New Roman" w:cs="Times New Roman"/>
          <w:b/>
          <w:sz w:val="24"/>
          <w:szCs w:val="24"/>
        </w:rPr>
        <w:t>Background</w:t>
      </w:r>
    </w:p>
    <w:p w14:paraId="31148ABD" w14:textId="77777777" w:rsidR="00431C2A" w:rsidRDefault="00431C2A" w:rsidP="00171706">
      <w:pPr>
        <w:spacing w:line="276" w:lineRule="auto"/>
        <w:jc w:val="both"/>
        <w:rPr>
          <w:rFonts w:ascii="Times New Roman" w:hAnsi="Times New Roman" w:cs="Times New Roman"/>
          <w:sz w:val="24"/>
          <w:szCs w:val="24"/>
        </w:rPr>
      </w:pPr>
    </w:p>
    <w:p w14:paraId="7C1B49B3" w14:textId="0BC2D395" w:rsidR="00431C2A" w:rsidRDefault="00321B30" w:rsidP="00171706">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underlying </w:t>
      </w:r>
      <w:r w:rsidR="00C83CC2">
        <w:rPr>
          <w:rFonts w:ascii="Times New Roman" w:hAnsi="Times New Roman" w:cs="Times New Roman"/>
          <w:sz w:val="24"/>
          <w:szCs w:val="24"/>
        </w:rPr>
        <w:t>P</w:t>
      </w:r>
      <w:r>
        <w:rPr>
          <w:rFonts w:ascii="Times New Roman" w:hAnsi="Times New Roman" w:cs="Times New Roman"/>
          <w:sz w:val="24"/>
          <w:szCs w:val="24"/>
        </w:rPr>
        <w:t xml:space="preserve">resentation </w:t>
      </w:r>
      <w:r w:rsidR="00C83CC2">
        <w:rPr>
          <w:rFonts w:ascii="Times New Roman" w:hAnsi="Times New Roman" w:cs="Times New Roman"/>
          <w:sz w:val="24"/>
          <w:szCs w:val="24"/>
        </w:rPr>
        <w:t>M</w:t>
      </w:r>
      <w:r>
        <w:rPr>
          <w:rFonts w:ascii="Times New Roman" w:hAnsi="Times New Roman" w:cs="Times New Roman"/>
          <w:sz w:val="24"/>
          <w:szCs w:val="24"/>
        </w:rPr>
        <w:t>emo</w:t>
      </w:r>
      <w:r w:rsidR="00C83CC2">
        <w:rPr>
          <w:rFonts w:ascii="Times New Roman" w:hAnsi="Times New Roman" w:cs="Times New Roman"/>
          <w:sz w:val="24"/>
          <w:szCs w:val="24"/>
        </w:rPr>
        <w:t>randum</w:t>
      </w:r>
      <w:r>
        <w:rPr>
          <w:rFonts w:ascii="Times New Roman" w:hAnsi="Times New Roman" w:cs="Times New Roman"/>
          <w:sz w:val="24"/>
          <w:szCs w:val="24"/>
        </w:rPr>
        <w:t xml:space="preserve"> for this project by Jayne Johnson reflected on a line of cases from </w:t>
      </w:r>
      <w:r>
        <w:rPr>
          <w:rFonts w:ascii="Times New Roman" w:hAnsi="Times New Roman" w:cs="Times New Roman"/>
          <w:i/>
          <w:sz w:val="24"/>
          <w:szCs w:val="24"/>
        </w:rPr>
        <w:t>Stewart v. 104 Wallace Street, Inc.</w:t>
      </w:r>
      <w:r w:rsidRPr="001F2A62">
        <w:rPr>
          <w:rStyle w:val="FootnoteReference"/>
          <w:rFonts w:cs="Times New Roman"/>
          <w:sz w:val="24"/>
          <w:szCs w:val="24"/>
        </w:rPr>
        <w:footnoteReference w:id="1"/>
      </w:r>
      <w:r w:rsidRPr="001F2A62">
        <w:rPr>
          <w:rFonts w:ascii="Times New Roman" w:hAnsi="Times New Roman" w:cs="Times New Roman"/>
          <w:sz w:val="24"/>
          <w:szCs w:val="24"/>
        </w:rPr>
        <w:t xml:space="preserve"> </w:t>
      </w:r>
      <w:r>
        <w:rPr>
          <w:rFonts w:ascii="Times New Roman" w:hAnsi="Times New Roman" w:cs="Times New Roman"/>
          <w:sz w:val="24"/>
          <w:szCs w:val="24"/>
        </w:rPr>
        <w:t xml:space="preserve">through the more recent </w:t>
      </w:r>
      <w:r>
        <w:rPr>
          <w:rFonts w:ascii="Times New Roman" w:hAnsi="Times New Roman" w:cs="Times New Roman"/>
          <w:i/>
          <w:sz w:val="24"/>
          <w:szCs w:val="24"/>
        </w:rPr>
        <w:t>Luchejko v. City of Hoboken</w:t>
      </w:r>
      <w:r w:rsidRPr="001F2A62">
        <w:rPr>
          <w:rStyle w:val="FootnoteReference"/>
          <w:rFonts w:cs="Times New Roman"/>
          <w:sz w:val="24"/>
          <w:szCs w:val="24"/>
        </w:rPr>
        <w:footnoteReference w:id="2"/>
      </w:r>
      <w:r w:rsidRPr="001F2A62">
        <w:rPr>
          <w:rFonts w:ascii="Times New Roman" w:hAnsi="Times New Roman" w:cs="Times New Roman"/>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Qian v. Toll Bros.</w:t>
      </w:r>
      <w:r w:rsidRPr="001F2A62">
        <w:rPr>
          <w:rStyle w:val="FootnoteReference"/>
          <w:rFonts w:cs="Times New Roman"/>
          <w:sz w:val="24"/>
          <w:szCs w:val="24"/>
        </w:rPr>
        <w:footnoteReference w:id="3"/>
      </w:r>
      <w:r w:rsidRPr="001F2A62">
        <w:rPr>
          <w:rFonts w:ascii="Times New Roman" w:hAnsi="Times New Roman" w:cs="Times New Roman"/>
          <w:sz w:val="24"/>
          <w:szCs w:val="24"/>
        </w:rPr>
        <w:t xml:space="preserve">, </w:t>
      </w:r>
      <w:r>
        <w:rPr>
          <w:rFonts w:ascii="Times New Roman" w:hAnsi="Times New Roman" w:cs="Times New Roman"/>
          <w:sz w:val="24"/>
          <w:szCs w:val="24"/>
        </w:rPr>
        <w:t>each of which undermined the historical common law rule that insulated property owners from liability for injuries occurring on adjacent sidewalks “unless through negligence a new element of danger or hazard, other than one caused by natural forces, added to the safe use of the sidewalk by a pedestrian.”</w:t>
      </w:r>
      <w:r>
        <w:rPr>
          <w:rStyle w:val="FootnoteReference"/>
          <w:rFonts w:cs="Times New Roman"/>
          <w:sz w:val="24"/>
          <w:szCs w:val="24"/>
        </w:rPr>
        <w:footnoteReference w:id="4"/>
      </w:r>
      <w:r w:rsidR="00D713C5">
        <w:rPr>
          <w:rFonts w:ascii="Times New Roman" w:hAnsi="Times New Roman" w:cs="Times New Roman"/>
          <w:sz w:val="24"/>
          <w:szCs w:val="24"/>
        </w:rPr>
        <w:t xml:space="preserve"> Essentially, th</w:t>
      </w:r>
      <w:r w:rsidR="00E40FD1">
        <w:rPr>
          <w:rFonts w:ascii="Times New Roman" w:hAnsi="Times New Roman" w:cs="Times New Roman"/>
          <w:sz w:val="24"/>
          <w:szCs w:val="24"/>
        </w:rPr>
        <w:t>e</w:t>
      </w:r>
      <w:r w:rsidR="00D713C5">
        <w:rPr>
          <w:rFonts w:ascii="Times New Roman" w:hAnsi="Times New Roman" w:cs="Times New Roman"/>
          <w:sz w:val="24"/>
          <w:szCs w:val="24"/>
        </w:rPr>
        <w:t xml:space="preserve"> </w:t>
      </w:r>
      <w:r w:rsidR="00E40FD1">
        <w:rPr>
          <w:rFonts w:ascii="Times New Roman" w:hAnsi="Times New Roman" w:cs="Times New Roman"/>
          <w:sz w:val="24"/>
          <w:szCs w:val="24"/>
        </w:rPr>
        <w:t xml:space="preserve">common law rule </w:t>
      </w:r>
      <w:r w:rsidR="00D713C5">
        <w:rPr>
          <w:rFonts w:ascii="Times New Roman" w:hAnsi="Times New Roman" w:cs="Times New Roman"/>
          <w:sz w:val="24"/>
          <w:szCs w:val="24"/>
        </w:rPr>
        <w:t>mean</w:t>
      </w:r>
      <w:r w:rsidR="00E40FD1">
        <w:rPr>
          <w:rFonts w:ascii="Times New Roman" w:hAnsi="Times New Roman" w:cs="Times New Roman"/>
          <w:sz w:val="24"/>
          <w:szCs w:val="24"/>
        </w:rPr>
        <w:t>t</w:t>
      </w:r>
      <w:r w:rsidR="00D713C5">
        <w:rPr>
          <w:rFonts w:ascii="Times New Roman" w:hAnsi="Times New Roman" w:cs="Times New Roman"/>
          <w:sz w:val="24"/>
          <w:szCs w:val="24"/>
        </w:rPr>
        <w:t xml:space="preserve"> that property owners were not liable</w:t>
      </w:r>
      <w:r w:rsidR="00E40FD1">
        <w:rPr>
          <w:rFonts w:ascii="Times New Roman" w:hAnsi="Times New Roman" w:cs="Times New Roman"/>
          <w:sz w:val="24"/>
          <w:szCs w:val="24"/>
        </w:rPr>
        <w:t xml:space="preserve"> for injuries on abutting sidewalks</w:t>
      </w:r>
      <w:r w:rsidR="00D713C5">
        <w:rPr>
          <w:rFonts w:ascii="Times New Roman" w:hAnsi="Times New Roman" w:cs="Times New Roman"/>
          <w:sz w:val="24"/>
          <w:szCs w:val="24"/>
        </w:rPr>
        <w:t xml:space="preserve"> unless they had actively increased the danger to passersby by “contribut[ing] to a defective condition or voluntarily undertak[ing] to make a repair and then do[ing] so negligently.”</w:t>
      </w:r>
      <w:r w:rsidR="00D713C5">
        <w:rPr>
          <w:rStyle w:val="FootnoteReference"/>
          <w:rFonts w:cs="Times New Roman"/>
          <w:sz w:val="24"/>
          <w:szCs w:val="24"/>
        </w:rPr>
        <w:footnoteReference w:id="5"/>
      </w:r>
    </w:p>
    <w:p w14:paraId="3DE75E73" w14:textId="77777777" w:rsidR="00D444D2" w:rsidRDefault="00D444D2" w:rsidP="00171706">
      <w:pPr>
        <w:spacing w:line="276" w:lineRule="auto"/>
        <w:ind w:firstLine="720"/>
        <w:jc w:val="both"/>
        <w:rPr>
          <w:rFonts w:ascii="Times New Roman" w:hAnsi="Times New Roman" w:cs="Times New Roman"/>
          <w:sz w:val="24"/>
          <w:szCs w:val="24"/>
        </w:rPr>
      </w:pPr>
    </w:p>
    <w:p w14:paraId="701F3685" w14:textId="4D9CB765" w:rsidR="00431C2A" w:rsidRDefault="00D713C5" w:rsidP="00171706">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Over time, this</w:t>
      </w:r>
      <w:r w:rsidR="002B7D02">
        <w:rPr>
          <w:rFonts w:ascii="Times New Roman" w:hAnsi="Times New Roman" w:cs="Times New Roman"/>
          <w:sz w:val="24"/>
          <w:szCs w:val="24"/>
        </w:rPr>
        <w:t xml:space="preserve"> baseline</w:t>
      </w:r>
      <w:r>
        <w:rPr>
          <w:rFonts w:ascii="Times New Roman" w:hAnsi="Times New Roman" w:cs="Times New Roman"/>
          <w:sz w:val="24"/>
          <w:szCs w:val="24"/>
        </w:rPr>
        <w:t xml:space="preserve"> rule </w:t>
      </w:r>
      <w:r w:rsidR="002B7D02">
        <w:rPr>
          <w:rFonts w:ascii="Times New Roman" w:hAnsi="Times New Roman" w:cs="Times New Roman"/>
          <w:sz w:val="24"/>
          <w:szCs w:val="24"/>
        </w:rPr>
        <w:t xml:space="preserve">has been unraveled, splitting liability for </w:t>
      </w:r>
      <w:r w:rsidR="00E40FD1">
        <w:rPr>
          <w:rFonts w:ascii="Times New Roman" w:hAnsi="Times New Roman" w:cs="Times New Roman"/>
          <w:sz w:val="24"/>
          <w:szCs w:val="24"/>
        </w:rPr>
        <w:t>unsafe conditions into five</w:t>
      </w:r>
      <w:r w:rsidR="002B7D02">
        <w:rPr>
          <w:rFonts w:ascii="Times New Roman" w:hAnsi="Times New Roman" w:cs="Times New Roman"/>
          <w:sz w:val="24"/>
          <w:szCs w:val="24"/>
        </w:rPr>
        <w:t xml:space="preserve"> categories: (1)</w:t>
      </w:r>
      <w:r w:rsidR="00E40FD1">
        <w:rPr>
          <w:rFonts w:ascii="Times New Roman" w:hAnsi="Times New Roman" w:cs="Times New Roman"/>
          <w:sz w:val="24"/>
          <w:szCs w:val="24"/>
        </w:rPr>
        <w:t xml:space="preserve"> commercial, (2)</w:t>
      </w:r>
      <w:r w:rsidR="002B7D02">
        <w:rPr>
          <w:rFonts w:ascii="Times New Roman" w:hAnsi="Times New Roman" w:cs="Times New Roman"/>
          <w:sz w:val="24"/>
          <w:szCs w:val="24"/>
        </w:rPr>
        <w:t xml:space="preserve"> </w:t>
      </w:r>
      <w:r w:rsidR="00E40FD1">
        <w:rPr>
          <w:rFonts w:ascii="Times New Roman" w:hAnsi="Times New Roman" w:cs="Times New Roman"/>
          <w:sz w:val="24"/>
          <w:szCs w:val="24"/>
        </w:rPr>
        <w:t>residential,</w:t>
      </w:r>
      <w:r w:rsidR="002B7D02">
        <w:rPr>
          <w:rFonts w:ascii="Times New Roman" w:hAnsi="Times New Roman" w:cs="Times New Roman"/>
          <w:sz w:val="24"/>
          <w:szCs w:val="24"/>
        </w:rPr>
        <w:t xml:space="preserve"> (</w:t>
      </w:r>
      <w:r w:rsidR="00E40FD1">
        <w:rPr>
          <w:rFonts w:ascii="Times New Roman" w:hAnsi="Times New Roman" w:cs="Times New Roman"/>
          <w:sz w:val="24"/>
          <w:szCs w:val="24"/>
        </w:rPr>
        <w:t>3</w:t>
      </w:r>
      <w:r w:rsidR="002B7D02">
        <w:rPr>
          <w:rFonts w:ascii="Times New Roman" w:hAnsi="Times New Roman" w:cs="Times New Roman"/>
          <w:sz w:val="24"/>
          <w:szCs w:val="24"/>
        </w:rPr>
        <w:t>) religious or charitable</w:t>
      </w:r>
      <w:r w:rsidR="00E40FD1">
        <w:rPr>
          <w:rFonts w:ascii="Times New Roman" w:hAnsi="Times New Roman" w:cs="Times New Roman"/>
          <w:sz w:val="24"/>
          <w:szCs w:val="24"/>
        </w:rPr>
        <w:t>,</w:t>
      </w:r>
      <w:r w:rsidR="002B7D02">
        <w:rPr>
          <w:rFonts w:ascii="Times New Roman" w:hAnsi="Times New Roman" w:cs="Times New Roman"/>
          <w:sz w:val="24"/>
          <w:szCs w:val="24"/>
        </w:rPr>
        <w:t xml:space="preserve"> (</w:t>
      </w:r>
      <w:r w:rsidR="00E40FD1">
        <w:rPr>
          <w:rFonts w:ascii="Times New Roman" w:hAnsi="Times New Roman" w:cs="Times New Roman"/>
          <w:sz w:val="24"/>
          <w:szCs w:val="24"/>
        </w:rPr>
        <w:t>4</w:t>
      </w:r>
      <w:r w:rsidR="002B7D02">
        <w:rPr>
          <w:rFonts w:ascii="Times New Roman" w:hAnsi="Times New Roman" w:cs="Times New Roman"/>
          <w:sz w:val="24"/>
          <w:szCs w:val="24"/>
        </w:rPr>
        <w:t>) public</w:t>
      </w:r>
      <w:r w:rsidR="00E40FD1">
        <w:rPr>
          <w:rFonts w:ascii="Times New Roman" w:hAnsi="Times New Roman" w:cs="Times New Roman"/>
          <w:sz w:val="24"/>
          <w:szCs w:val="24"/>
        </w:rPr>
        <w:t>,</w:t>
      </w:r>
      <w:r w:rsidR="002B7D02">
        <w:rPr>
          <w:rFonts w:ascii="Times New Roman" w:hAnsi="Times New Roman" w:cs="Times New Roman"/>
          <w:sz w:val="24"/>
          <w:szCs w:val="24"/>
        </w:rPr>
        <w:t xml:space="preserve"> and (</w:t>
      </w:r>
      <w:r w:rsidR="00E40FD1">
        <w:rPr>
          <w:rFonts w:ascii="Times New Roman" w:hAnsi="Times New Roman" w:cs="Times New Roman"/>
          <w:sz w:val="24"/>
          <w:szCs w:val="24"/>
        </w:rPr>
        <w:t>5</w:t>
      </w:r>
      <w:r w:rsidR="002B7D02">
        <w:rPr>
          <w:rFonts w:ascii="Times New Roman" w:hAnsi="Times New Roman" w:cs="Times New Roman"/>
          <w:sz w:val="24"/>
          <w:szCs w:val="24"/>
        </w:rPr>
        <w:t>) mixed</w:t>
      </w:r>
      <w:r w:rsidR="007D46BC">
        <w:rPr>
          <w:rFonts w:ascii="Times New Roman" w:hAnsi="Times New Roman" w:cs="Times New Roman"/>
          <w:sz w:val="24"/>
          <w:szCs w:val="24"/>
        </w:rPr>
        <w:t>-</w:t>
      </w:r>
      <w:r w:rsidR="002B7D02">
        <w:rPr>
          <w:rFonts w:ascii="Times New Roman" w:hAnsi="Times New Roman" w:cs="Times New Roman"/>
          <w:sz w:val="24"/>
          <w:szCs w:val="24"/>
        </w:rPr>
        <w:t>use.</w:t>
      </w:r>
    </w:p>
    <w:p w14:paraId="787B76DD" w14:textId="77777777" w:rsidR="00431C2A" w:rsidRDefault="00431C2A" w:rsidP="00171706">
      <w:pPr>
        <w:spacing w:line="276" w:lineRule="auto"/>
        <w:ind w:firstLine="720"/>
        <w:jc w:val="both"/>
        <w:rPr>
          <w:rFonts w:ascii="Times New Roman" w:hAnsi="Times New Roman" w:cs="Times New Roman"/>
          <w:sz w:val="24"/>
          <w:szCs w:val="24"/>
        </w:rPr>
      </w:pPr>
    </w:p>
    <w:p w14:paraId="338BE184" w14:textId="26134843" w:rsidR="00E40FD1" w:rsidRPr="00E40FD1" w:rsidRDefault="00E40FD1" w:rsidP="00171706">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Starting with </w:t>
      </w:r>
      <w:r>
        <w:rPr>
          <w:rFonts w:ascii="Times New Roman" w:hAnsi="Times New Roman" w:cs="Times New Roman"/>
          <w:i/>
          <w:sz w:val="24"/>
          <w:szCs w:val="24"/>
        </w:rPr>
        <w:t>Stewart</w:t>
      </w:r>
      <w:r>
        <w:rPr>
          <w:rFonts w:ascii="Times New Roman" w:hAnsi="Times New Roman" w:cs="Times New Roman"/>
          <w:sz w:val="24"/>
          <w:szCs w:val="24"/>
        </w:rPr>
        <w:t>, the New Jersey Supreme Court imposed an affirmative duty on commercial property owners to maintain safe conditions for pass</w:t>
      </w:r>
      <w:r w:rsidR="002145E0">
        <w:rPr>
          <w:rFonts w:ascii="Times New Roman" w:hAnsi="Times New Roman" w:cs="Times New Roman"/>
          <w:sz w:val="24"/>
          <w:szCs w:val="24"/>
        </w:rPr>
        <w:t>ersby on abutting sidewalks, an obligation deemed fair in light of the benefit that these owners derive from having public thoroughfares next to their businesses.</w:t>
      </w:r>
      <w:r w:rsidR="009964E1">
        <w:rPr>
          <w:rStyle w:val="FootnoteReference"/>
          <w:rFonts w:cs="Times New Roman"/>
          <w:sz w:val="24"/>
          <w:szCs w:val="24"/>
        </w:rPr>
        <w:footnoteReference w:id="6"/>
      </w:r>
      <w:r w:rsidR="00633CF3">
        <w:rPr>
          <w:rFonts w:ascii="Times New Roman" w:hAnsi="Times New Roman" w:cs="Times New Roman"/>
          <w:sz w:val="24"/>
          <w:szCs w:val="24"/>
        </w:rPr>
        <w:t xml:space="preserve"> Residential property owners, meanwhile, continue to operate under the common law rule that refuses to impose liability absent conduct</w:t>
      </w:r>
      <w:r w:rsidR="009A338B">
        <w:rPr>
          <w:rFonts w:ascii="Times New Roman" w:hAnsi="Times New Roman" w:cs="Times New Roman"/>
          <w:sz w:val="24"/>
          <w:szCs w:val="24"/>
        </w:rPr>
        <w:t xml:space="preserve"> by the property owner (or her predecessor in title)</w:t>
      </w:r>
      <w:r w:rsidR="00633CF3">
        <w:rPr>
          <w:rFonts w:ascii="Times New Roman" w:hAnsi="Times New Roman" w:cs="Times New Roman"/>
          <w:sz w:val="24"/>
          <w:szCs w:val="24"/>
        </w:rPr>
        <w:t xml:space="preserve"> that intentionally, recklessly, or negligently increases the danger of the sidewalk to pedestrians.</w:t>
      </w:r>
      <w:r w:rsidR="009A338B">
        <w:rPr>
          <w:rStyle w:val="FootnoteReference"/>
          <w:rFonts w:cs="Times New Roman"/>
          <w:sz w:val="24"/>
          <w:szCs w:val="24"/>
        </w:rPr>
        <w:footnoteReference w:id="7"/>
      </w:r>
      <w:r w:rsidR="009A338B">
        <w:rPr>
          <w:rFonts w:ascii="Times New Roman" w:hAnsi="Times New Roman" w:cs="Times New Roman"/>
          <w:sz w:val="24"/>
          <w:szCs w:val="24"/>
        </w:rPr>
        <w:t xml:space="preserve"> Private property owners have no</w:t>
      </w:r>
      <w:r w:rsidR="00E07C62">
        <w:rPr>
          <w:rFonts w:ascii="Times New Roman" w:hAnsi="Times New Roman" w:cs="Times New Roman"/>
          <w:sz w:val="24"/>
          <w:szCs w:val="24"/>
        </w:rPr>
        <w:t xml:space="preserve"> tort duty</w:t>
      </w:r>
      <w:r w:rsidR="009A338B">
        <w:rPr>
          <w:rFonts w:ascii="Times New Roman" w:hAnsi="Times New Roman" w:cs="Times New Roman"/>
          <w:sz w:val="24"/>
          <w:szCs w:val="24"/>
        </w:rPr>
        <w:t xml:space="preserve"> to clear snow or ice from their</w:t>
      </w:r>
      <w:r w:rsidR="00E07C62">
        <w:rPr>
          <w:rFonts w:ascii="Times New Roman" w:hAnsi="Times New Roman" w:cs="Times New Roman"/>
          <w:sz w:val="24"/>
          <w:szCs w:val="24"/>
        </w:rPr>
        <w:t xml:space="preserve"> abutting sidewalks; though they can be subject to municipal ordinances that require ice and snow to be cleared.</w:t>
      </w:r>
      <w:r w:rsidR="00E07C62">
        <w:rPr>
          <w:rStyle w:val="FootnoteReference"/>
          <w:rFonts w:cs="Times New Roman"/>
          <w:sz w:val="24"/>
          <w:szCs w:val="24"/>
        </w:rPr>
        <w:footnoteReference w:id="8"/>
      </w:r>
      <w:r w:rsidR="0002750B">
        <w:rPr>
          <w:rFonts w:ascii="Times New Roman" w:hAnsi="Times New Roman" w:cs="Times New Roman"/>
          <w:sz w:val="24"/>
          <w:szCs w:val="24"/>
        </w:rPr>
        <w:t xml:space="preserve"> Public entities are governed by similarly uncomplicated rules—the state’s Tort Claims Act provides guidance on the matter.</w:t>
      </w:r>
      <w:r w:rsidR="0002750B">
        <w:rPr>
          <w:rStyle w:val="FootnoteReference"/>
          <w:rFonts w:cs="Times New Roman"/>
          <w:sz w:val="24"/>
          <w:szCs w:val="24"/>
        </w:rPr>
        <w:footnoteReference w:id="9"/>
      </w:r>
    </w:p>
    <w:p w14:paraId="185747B8" w14:textId="77777777" w:rsidR="00E40FD1" w:rsidRDefault="00E40FD1" w:rsidP="00171706">
      <w:pPr>
        <w:spacing w:line="276" w:lineRule="auto"/>
        <w:ind w:firstLine="720"/>
        <w:jc w:val="both"/>
        <w:rPr>
          <w:rFonts w:ascii="Times New Roman" w:hAnsi="Times New Roman" w:cs="Times New Roman"/>
          <w:sz w:val="24"/>
          <w:szCs w:val="24"/>
        </w:rPr>
      </w:pPr>
    </w:p>
    <w:p w14:paraId="67670B40" w14:textId="4783D5F2" w:rsidR="00E40FD1" w:rsidRDefault="00046782" w:rsidP="00171706">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Owners of religious/charitable or mixed</w:t>
      </w:r>
      <w:r w:rsidR="007D46BC">
        <w:rPr>
          <w:rFonts w:ascii="Times New Roman" w:hAnsi="Times New Roman" w:cs="Times New Roman"/>
          <w:sz w:val="24"/>
          <w:szCs w:val="24"/>
        </w:rPr>
        <w:t>-</w:t>
      </w:r>
      <w:r>
        <w:rPr>
          <w:rFonts w:ascii="Times New Roman" w:hAnsi="Times New Roman" w:cs="Times New Roman"/>
          <w:sz w:val="24"/>
          <w:szCs w:val="24"/>
        </w:rPr>
        <w:t>use property face a less clear legal framework. These cases are generally treated as fact-sensitive, hinging on whether the property was used for business-like activities.</w:t>
      </w:r>
      <w:r w:rsidR="00630127">
        <w:rPr>
          <w:rStyle w:val="FootnoteReference"/>
          <w:rFonts w:cs="Times New Roman"/>
          <w:sz w:val="24"/>
          <w:szCs w:val="24"/>
        </w:rPr>
        <w:footnoteReference w:id="10"/>
      </w:r>
      <w:r w:rsidR="00630127">
        <w:rPr>
          <w:rFonts w:ascii="Times New Roman" w:hAnsi="Times New Roman" w:cs="Times New Roman"/>
          <w:sz w:val="24"/>
          <w:szCs w:val="24"/>
        </w:rPr>
        <w:t xml:space="preserve"> For religious/charitable entities, this is considered independent of the nature of the </w:t>
      </w:r>
      <w:r w:rsidR="00FC3372">
        <w:rPr>
          <w:rFonts w:ascii="Times New Roman" w:hAnsi="Times New Roman" w:cs="Times New Roman"/>
          <w:sz w:val="24"/>
          <w:szCs w:val="24"/>
        </w:rPr>
        <w:t xml:space="preserve">property </w:t>
      </w:r>
      <w:r w:rsidR="00630127">
        <w:rPr>
          <w:rFonts w:ascii="Times New Roman" w:hAnsi="Times New Roman" w:cs="Times New Roman"/>
          <w:sz w:val="24"/>
          <w:szCs w:val="24"/>
        </w:rPr>
        <w:t>owners</w:t>
      </w:r>
      <w:r w:rsidR="007360EE">
        <w:rPr>
          <w:rFonts w:ascii="Times New Roman" w:hAnsi="Times New Roman" w:cs="Times New Roman"/>
          <w:sz w:val="24"/>
          <w:szCs w:val="24"/>
        </w:rPr>
        <w:t>, instead considering the nature of the property’s use</w:t>
      </w:r>
      <w:r w:rsidR="00630127">
        <w:rPr>
          <w:rFonts w:ascii="Times New Roman" w:hAnsi="Times New Roman" w:cs="Times New Roman"/>
          <w:sz w:val="24"/>
          <w:szCs w:val="24"/>
        </w:rPr>
        <w:t xml:space="preserve">: for instance, in </w:t>
      </w:r>
      <w:r w:rsidR="00630127">
        <w:rPr>
          <w:rFonts w:ascii="Times New Roman" w:hAnsi="Times New Roman" w:cs="Times New Roman"/>
          <w:i/>
          <w:sz w:val="24"/>
          <w:szCs w:val="24"/>
        </w:rPr>
        <w:t>Brown v. Saint Venantius School</w:t>
      </w:r>
      <w:r w:rsidR="00630127">
        <w:rPr>
          <w:rFonts w:ascii="Times New Roman" w:hAnsi="Times New Roman" w:cs="Times New Roman"/>
          <w:sz w:val="24"/>
          <w:szCs w:val="24"/>
        </w:rPr>
        <w:t>,</w:t>
      </w:r>
      <w:r w:rsidR="00630127">
        <w:rPr>
          <w:rStyle w:val="FootnoteReference"/>
          <w:rFonts w:cs="Times New Roman"/>
          <w:sz w:val="24"/>
          <w:szCs w:val="24"/>
        </w:rPr>
        <w:footnoteReference w:id="11"/>
      </w:r>
      <w:r w:rsidR="0023152F">
        <w:rPr>
          <w:rFonts w:ascii="Times New Roman" w:hAnsi="Times New Roman" w:cs="Times New Roman"/>
          <w:sz w:val="24"/>
          <w:szCs w:val="24"/>
        </w:rPr>
        <w:t xml:space="preserve"> the Supreme Court rejected the notion that commercial-style liability could not be imposed on church organized as a religious nonprofit entity</w:t>
      </w:r>
      <w:r w:rsidR="006808E2">
        <w:rPr>
          <w:rFonts w:ascii="Times New Roman" w:hAnsi="Times New Roman" w:cs="Times New Roman"/>
          <w:sz w:val="24"/>
          <w:szCs w:val="24"/>
        </w:rPr>
        <w:t>, in light of the facts that the church would be able to absorb the damages assessed against it and that it already engaged in substantial property maintenance (suggesting that it was capable of keeping its abutting sidewalks clear)</w:t>
      </w:r>
      <w:r w:rsidR="0023152F">
        <w:rPr>
          <w:rFonts w:ascii="Times New Roman" w:hAnsi="Times New Roman" w:cs="Times New Roman"/>
          <w:sz w:val="24"/>
          <w:szCs w:val="24"/>
        </w:rPr>
        <w:t>.</w:t>
      </w:r>
      <w:r w:rsidR="006808E2">
        <w:rPr>
          <w:rStyle w:val="FootnoteReference"/>
          <w:rFonts w:cs="Times New Roman"/>
          <w:sz w:val="24"/>
          <w:szCs w:val="24"/>
        </w:rPr>
        <w:footnoteReference w:id="12"/>
      </w:r>
      <w:r w:rsidR="007360EE">
        <w:rPr>
          <w:rFonts w:ascii="Times New Roman" w:hAnsi="Times New Roman" w:cs="Times New Roman"/>
          <w:sz w:val="24"/>
          <w:szCs w:val="24"/>
        </w:rPr>
        <w:t xml:space="preserve"> For mixed-use entities, a similar balancing test is used: courts apply a “predominant use” test, considering among other things “extent of income and extent of non-owner occupancy in terms of time and space to determine whether the owner’s residential occupancy preponderates.”</w:t>
      </w:r>
      <w:r w:rsidR="007360EE">
        <w:rPr>
          <w:rStyle w:val="FootnoteReference"/>
          <w:rFonts w:cs="Times New Roman"/>
          <w:sz w:val="24"/>
          <w:szCs w:val="24"/>
        </w:rPr>
        <w:footnoteReference w:id="13"/>
      </w:r>
      <w:r w:rsidR="006B7828">
        <w:rPr>
          <w:rFonts w:ascii="Times New Roman" w:hAnsi="Times New Roman" w:cs="Times New Roman"/>
          <w:sz w:val="24"/>
          <w:szCs w:val="24"/>
        </w:rPr>
        <w:t xml:space="preserve"> This creates high variance, sometimes leading to classifications of two-family homes, large apartment buildings, and fraternity houses as more commercial than residential,</w:t>
      </w:r>
      <w:r w:rsidR="006B7828">
        <w:rPr>
          <w:rStyle w:val="FootnoteReference"/>
          <w:rFonts w:cs="Times New Roman"/>
          <w:sz w:val="24"/>
          <w:szCs w:val="24"/>
        </w:rPr>
        <w:footnoteReference w:id="14"/>
      </w:r>
      <w:r w:rsidR="006B7828">
        <w:rPr>
          <w:rFonts w:ascii="Times New Roman" w:hAnsi="Times New Roman" w:cs="Times New Roman"/>
          <w:sz w:val="24"/>
          <w:szCs w:val="24"/>
        </w:rPr>
        <w:t xml:space="preserve"> and sometimes leading to classifications of three-family homes, two-family homes, and condominium associations as more residential than commercial.</w:t>
      </w:r>
      <w:r w:rsidR="006B7828">
        <w:rPr>
          <w:rStyle w:val="FootnoteReference"/>
          <w:rFonts w:cs="Times New Roman"/>
          <w:sz w:val="24"/>
          <w:szCs w:val="24"/>
        </w:rPr>
        <w:footnoteReference w:id="15"/>
      </w:r>
    </w:p>
    <w:p w14:paraId="772772EF" w14:textId="77777777" w:rsidR="00331247" w:rsidRDefault="00331247" w:rsidP="00171706">
      <w:pPr>
        <w:spacing w:line="276" w:lineRule="auto"/>
        <w:ind w:firstLine="720"/>
        <w:jc w:val="both"/>
        <w:rPr>
          <w:rFonts w:ascii="Times New Roman" w:hAnsi="Times New Roman" w:cs="Times New Roman"/>
          <w:sz w:val="24"/>
          <w:szCs w:val="24"/>
        </w:rPr>
      </w:pPr>
    </w:p>
    <w:p w14:paraId="2CF87971" w14:textId="77777777" w:rsidR="007D46BC" w:rsidRDefault="00331247" w:rsidP="00B2618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Courts have conceded that making these distinctions has proved exceedingly difficult over time. </w:t>
      </w:r>
      <w:r w:rsidR="00B26184">
        <w:rPr>
          <w:rFonts w:ascii="Times New Roman" w:hAnsi="Times New Roman" w:cs="Times New Roman"/>
          <w:sz w:val="24"/>
          <w:szCs w:val="24"/>
        </w:rPr>
        <w:t xml:space="preserve">As Justice Long’s dissent in </w:t>
      </w:r>
      <w:r w:rsidR="00B26184">
        <w:rPr>
          <w:rFonts w:ascii="Times New Roman" w:hAnsi="Times New Roman" w:cs="Times New Roman"/>
          <w:i/>
          <w:sz w:val="24"/>
          <w:szCs w:val="24"/>
        </w:rPr>
        <w:t xml:space="preserve">Luchejko </w:t>
      </w:r>
      <w:r w:rsidR="00B26184">
        <w:rPr>
          <w:rFonts w:ascii="Times New Roman" w:hAnsi="Times New Roman" w:cs="Times New Roman"/>
          <w:sz w:val="24"/>
          <w:szCs w:val="24"/>
        </w:rPr>
        <w:t xml:space="preserve">states, there should </w:t>
      </w:r>
      <w:r w:rsidR="00F907D9">
        <w:rPr>
          <w:rFonts w:ascii="Times New Roman" w:hAnsi="Times New Roman" w:cs="Times New Roman"/>
          <w:sz w:val="24"/>
          <w:szCs w:val="24"/>
        </w:rPr>
        <w:t xml:space="preserve">ideally </w:t>
      </w:r>
      <w:r w:rsidR="00B26184">
        <w:rPr>
          <w:rFonts w:ascii="Times New Roman" w:hAnsi="Times New Roman" w:cs="Times New Roman"/>
          <w:sz w:val="24"/>
          <w:szCs w:val="24"/>
        </w:rPr>
        <w:t xml:space="preserve">be no “bright-line </w:t>
      </w:r>
      <w:r w:rsidR="00B26184">
        <w:rPr>
          <w:rFonts w:ascii="Times New Roman" w:hAnsi="Times New Roman" w:cs="Times New Roman"/>
          <w:sz w:val="24"/>
          <w:szCs w:val="24"/>
        </w:rPr>
        <w:lastRenderedPageBreak/>
        <w:t>application of a commercial-residential distinction”</w:t>
      </w:r>
      <w:r w:rsidR="00F907D9">
        <w:rPr>
          <w:rFonts w:ascii="Times New Roman" w:hAnsi="Times New Roman" w:cs="Times New Roman"/>
          <w:sz w:val="24"/>
          <w:szCs w:val="24"/>
        </w:rPr>
        <w:t xml:space="preserve"> because </w:t>
      </w:r>
      <w:r w:rsidR="00B26184">
        <w:rPr>
          <w:rFonts w:ascii="Times New Roman" w:hAnsi="Times New Roman" w:cs="Times New Roman"/>
          <w:sz w:val="24"/>
          <w:szCs w:val="24"/>
        </w:rPr>
        <w:t xml:space="preserve">a more fact-sensitive balancing test that weighs the myriad factors surrounding the injury itself, the ability of the property owner to pay, the nature of the conditions, </w:t>
      </w:r>
      <w:r w:rsidR="00F907D9">
        <w:rPr>
          <w:rFonts w:ascii="Times New Roman" w:hAnsi="Times New Roman" w:cs="Times New Roman"/>
          <w:sz w:val="24"/>
          <w:szCs w:val="24"/>
        </w:rPr>
        <w:t>the foreseeability of the accident, and the allocation of risk ought to be used.</w:t>
      </w:r>
      <w:r w:rsidR="00F907D9">
        <w:rPr>
          <w:rStyle w:val="FootnoteReference"/>
          <w:rFonts w:cs="Times New Roman"/>
          <w:sz w:val="24"/>
          <w:szCs w:val="24"/>
        </w:rPr>
        <w:footnoteReference w:id="16"/>
      </w:r>
      <w:r w:rsidR="00B26184">
        <w:rPr>
          <w:rFonts w:ascii="Times New Roman" w:hAnsi="Times New Roman" w:cs="Times New Roman"/>
          <w:i/>
          <w:sz w:val="24"/>
          <w:szCs w:val="24"/>
        </w:rPr>
        <w:t xml:space="preserve"> </w:t>
      </w:r>
      <w:r w:rsidR="00F907D9">
        <w:rPr>
          <w:rFonts w:ascii="Times New Roman" w:hAnsi="Times New Roman" w:cs="Times New Roman"/>
          <w:sz w:val="24"/>
          <w:szCs w:val="24"/>
        </w:rPr>
        <w:t xml:space="preserve">However, </w:t>
      </w:r>
      <w:r w:rsidR="004866BA">
        <w:rPr>
          <w:rFonts w:ascii="Times New Roman" w:hAnsi="Times New Roman" w:cs="Times New Roman"/>
          <w:sz w:val="24"/>
          <w:szCs w:val="24"/>
        </w:rPr>
        <w:t>attempts to codify</w:t>
      </w:r>
      <w:r w:rsidR="00F907D9">
        <w:rPr>
          <w:rFonts w:ascii="Times New Roman" w:hAnsi="Times New Roman" w:cs="Times New Roman"/>
          <w:sz w:val="24"/>
          <w:szCs w:val="24"/>
        </w:rPr>
        <w:t xml:space="preserve"> such a balancing test</w:t>
      </w:r>
      <w:r w:rsidR="004866BA">
        <w:rPr>
          <w:rFonts w:ascii="Times New Roman" w:hAnsi="Times New Roman" w:cs="Times New Roman"/>
          <w:sz w:val="24"/>
          <w:szCs w:val="24"/>
        </w:rPr>
        <w:t xml:space="preserve"> (as suggested at the June 2016 meeting)</w:t>
      </w:r>
      <w:r w:rsidR="00F907D9">
        <w:rPr>
          <w:rFonts w:ascii="Times New Roman" w:hAnsi="Times New Roman" w:cs="Times New Roman"/>
          <w:sz w:val="24"/>
          <w:szCs w:val="24"/>
        </w:rPr>
        <w:t xml:space="preserve"> would </w:t>
      </w:r>
      <w:r w:rsidR="007D46BC">
        <w:rPr>
          <w:rFonts w:ascii="Times New Roman" w:hAnsi="Times New Roman" w:cs="Times New Roman"/>
          <w:sz w:val="24"/>
          <w:szCs w:val="24"/>
        </w:rPr>
        <w:t>likely</w:t>
      </w:r>
      <w:r w:rsidR="00F907D9">
        <w:rPr>
          <w:rFonts w:ascii="Times New Roman" w:hAnsi="Times New Roman" w:cs="Times New Roman"/>
          <w:sz w:val="24"/>
          <w:szCs w:val="24"/>
        </w:rPr>
        <w:t xml:space="preserve"> </w:t>
      </w:r>
      <w:r w:rsidR="007D46BC">
        <w:rPr>
          <w:rFonts w:ascii="Times New Roman" w:hAnsi="Times New Roman" w:cs="Times New Roman"/>
          <w:sz w:val="24"/>
          <w:szCs w:val="24"/>
        </w:rPr>
        <w:t>omit</w:t>
      </w:r>
      <w:r w:rsidR="00F907D9">
        <w:rPr>
          <w:rFonts w:ascii="Times New Roman" w:hAnsi="Times New Roman" w:cs="Times New Roman"/>
          <w:sz w:val="24"/>
          <w:szCs w:val="24"/>
        </w:rPr>
        <w:t xml:space="preserve"> potentially important factors, leading to </w:t>
      </w:r>
      <w:r w:rsidR="007D46BC">
        <w:rPr>
          <w:rFonts w:ascii="Times New Roman" w:hAnsi="Times New Roman" w:cs="Times New Roman"/>
          <w:sz w:val="24"/>
          <w:szCs w:val="24"/>
        </w:rPr>
        <w:t xml:space="preserve">the undesirable outcome of </w:t>
      </w:r>
      <w:r w:rsidR="00F907D9">
        <w:rPr>
          <w:rFonts w:ascii="Times New Roman" w:hAnsi="Times New Roman" w:cs="Times New Roman"/>
          <w:sz w:val="24"/>
          <w:szCs w:val="24"/>
        </w:rPr>
        <w:t>increased litigation over the issue</w:t>
      </w:r>
      <w:r w:rsidR="007D46BC">
        <w:rPr>
          <w:rFonts w:ascii="Times New Roman" w:hAnsi="Times New Roman" w:cs="Times New Roman"/>
          <w:sz w:val="24"/>
          <w:szCs w:val="24"/>
        </w:rPr>
        <w:t xml:space="preserve">. Further, </w:t>
      </w:r>
      <w:r w:rsidR="00F907D9">
        <w:rPr>
          <w:rFonts w:ascii="Times New Roman" w:hAnsi="Times New Roman" w:cs="Times New Roman"/>
          <w:sz w:val="24"/>
          <w:szCs w:val="24"/>
        </w:rPr>
        <w:t>the balancing is already encapsulated in the consideration of the commercial/residential distinction used in mixed-use cases.</w:t>
      </w:r>
      <w:r w:rsidR="004866BA">
        <w:rPr>
          <w:rFonts w:ascii="Times New Roman" w:hAnsi="Times New Roman" w:cs="Times New Roman"/>
          <w:sz w:val="24"/>
          <w:szCs w:val="24"/>
        </w:rPr>
        <w:t xml:space="preserve"> </w:t>
      </w:r>
    </w:p>
    <w:p w14:paraId="64A18D97" w14:textId="77777777" w:rsidR="007D46BC" w:rsidRDefault="007D46BC" w:rsidP="00B26184">
      <w:pPr>
        <w:spacing w:line="276" w:lineRule="auto"/>
        <w:ind w:firstLine="720"/>
        <w:jc w:val="both"/>
        <w:rPr>
          <w:rFonts w:ascii="Times New Roman" w:hAnsi="Times New Roman" w:cs="Times New Roman"/>
          <w:sz w:val="24"/>
          <w:szCs w:val="24"/>
        </w:rPr>
      </w:pPr>
    </w:p>
    <w:p w14:paraId="3F712F1D" w14:textId="1EB1672F" w:rsidR="00431C2A" w:rsidRPr="003A12FB" w:rsidRDefault="004866BA" w:rsidP="00B2618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3A12FB">
        <w:rPr>
          <w:rFonts w:ascii="Times New Roman" w:hAnsi="Times New Roman" w:cs="Times New Roman"/>
          <w:sz w:val="24"/>
          <w:szCs w:val="24"/>
        </w:rPr>
        <w:t xml:space="preserve">hort of creating an agency to classify properties as commercial or residential </w:t>
      </w:r>
      <w:r w:rsidR="003A12FB">
        <w:rPr>
          <w:rFonts w:ascii="Times New Roman" w:hAnsi="Times New Roman" w:cs="Times New Roman"/>
          <w:i/>
          <w:sz w:val="24"/>
          <w:szCs w:val="24"/>
        </w:rPr>
        <w:t xml:space="preserve">ex ante </w:t>
      </w:r>
      <w:r w:rsidR="003A12FB">
        <w:rPr>
          <w:rFonts w:ascii="Times New Roman" w:hAnsi="Times New Roman" w:cs="Times New Roman"/>
          <w:sz w:val="24"/>
          <w:szCs w:val="24"/>
        </w:rPr>
        <w:t>(another suggestion from the meeting) or creating a bright-line rule that resets the law to a pre-</w:t>
      </w:r>
      <w:r w:rsidR="003A12FB">
        <w:rPr>
          <w:rFonts w:ascii="Times New Roman" w:hAnsi="Times New Roman" w:cs="Times New Roman"/>
          <w:i/>
          <w:sz w:val="24"/>
          <w:szCs w:val="24"/>
        </w:rPr>
        <w:t xml:space="preserve">Stewart </w:t>
      </w:r>
      <w:r w:rsidR="003A12FB">
        <w:rPr>
          <w:rFonts w:ascii="Times New Roman" w:hAnsi="Times New Roman" w:cs="Times New Roman"/>
          <w:sz w:val="24"/>
          <w:szCs w:val="24"/>
        </w:rPr>
        <w:t>system (as Burke’s article suggests,</w:t>
      </w:r>
      <w:r w:rsidR="00E2135E">
        <w:rPr>
          <w:rStyle w:val="FootnoteReference"/>
          <w:rFonts w:cs="Times New Roman"/>
          <w:sz w:val="24"/>
          <w:szCs w:val="24"/>
        </w:rPr>
        <w:footnoteReference w:id="17"/>
      </w:r>
      <w:r w:rsidR="003A12FB">
        <w:rPr>
          <w:rFonts w:ascii="Times New Roman" w:hAnsi="Times New Roman" w:cs="Times New Roman"/>
          <w:sz w:val="24"/>
          <w:szCs w:val="24"/>
        </w:rPr>
        <w:t xml:space="preserve"> which would re-raise the problems of fairness inherent in the system and likely end up suffering the same fate as the pre-</w:t>
      </w:r>
      <w:r w:rsidR="003A12FB">
        <w:rPr>
          <w:rFonts w:ascii="Times New Roman" w:hAnsi="Times New Roman" w:cs="Times New Roman"/>
          <w:i/>
          <w:sz w:val="24"/>
          <w:szCs w:val="24"/>
        </w:rPr>
        <w:t xml:space="preserve">Stewart </w:t>
      </w:r>
      <w:r w:rsidR="003A12FB">
        <w:rPr>
          <w:rFonts w:ascii="Times New Roman" w:hAnsi="Times New Roman" w:cs="Times New Roman"/>
          <w:sz w:val="24"/>
          <w:szCs w:val="24"/>
        </w:rPr>
        <w:t xml:space="preserve">common law rule) it seems there is no </w:t>
      </w:r>
      <w:r w:rsidR="007D46BC">
        <w:rPr>
          <w:rFonts w:ascii="Times New Roman" w:hAnsi="Times New Roman" w:cs="Times New Roman"/>
          <w:sz w:val="24"/>
          <w:szCs w:val="24"/>
        </w:rPr>
        <w:t xml:space="preserve">immediate </w:t>
      </w:r>
      <w:r w:rsidR="002369F1">
        <w:rPr>
          <w:rFonts w:ascii="Times New Roman" w:hAnsi="Times New Roman" w:cs="Times New Roman"/>
          <w:sz w:val="24"/>
          <w:szCs w:val="24"/>
        </w:rPr>
        <w:t>practicable</w:t>
      </w:r>
      <w:r w:rsidR="003A12FB">
        <w:rPr>
          <w:rFonts w:ascii="Times New Roman" w:hAnsi="Times New Roman" w:cs="Times New Roman"/>
          <w:sz w:val="24"/>
          <w:szCs w:val="24"/>
        </w:rPr>
        <w:t xml:space="preserve"> solution to this problem.</w:t>
      </w:r>
    </w:p>
    <w:p w14:paraId="742941C6" w14:textId="77777777" w:rsidR="00B26184" w:rsidRDefault="00B26184" w:rsidP="00171706">
      <w:pPr>
        <w:spacing w:line="276" w:lineRule="auto"/>
        <w:jc w:val="center"/>
        <w:rPr>
          <w:rFonts w:ascii="Times New Roman" w:eastAsia="Times New Roman" w:hAnsi="Times New Roman" w:cs="Times New Roman"/>
          <w:b/>
          <w:sz w:val="24"/>
          <w:szCs w:val="24"/>
        </w:rPr>
      </w:pPr>
    </w:p>
    <w:p w14:paraId="6DCD4BC1" w14:textId="77777777" w:rsidR="00431C2A" w:rsidRPr="00431C2A" w:rsidRDefault="00431C2A" w:rsidP="00171706">
      <w:pPr>
        <w:spacing w:line="276" w:lineRule="auto"/>
        <w:jc w:val="center"/>
        <w:rPr>
          <w:rFonts w:ascii="Times New Roman" w:eastAsia="Times New Roman" w:hAnsi="Times New Roman" w:cs="Times New Roman"/>
          <w:b/>
          <w:sz w:val="24"/>
          <w:szCs w:val="24"/>
        </w:rPr>
      </w:pPr>
      <w:r w:rsidRPr="00431C2A">
        <w:rPr>
          <w:rFonts w:ascii="Times New Roman" w:eastAsia="Times New Roman" w:hAnsi="Times New Roman" w:cs="Times New Roman"/>
          <w:b/>
          <w:sz w:val="24"/>
          <w:szCs w:val="24"/>
        </w:rPr>
        <w:t>Conclusion</w:t>
      </w:r>
    </w:p>
    <w:p w14:paraId="77E00AA5" w14:textId="77777777" w:rsidR="00431C2A" w:rsidRDefault="00431C2A" w:rsidP="00171706">
      <w:pPr>
        <w:spacing w:line="276" w:lineRule="auto"/>
        <w:jc w:val="both"/>
        <w:rPr>
          <w:rFonts w:ascii="Times New Roman" w:eastAsia="Times New Roman" w:hAnsi="Times New Roman" w:cs="Times New Roman"/>
          <w:sz w:val="24"/>
          <w:szCs w:val="24"/>
        </w:rPr>
      </w:pPr>
    </w:p>
    <w:p w14:paraId="345DDF46" w14:textId="764CC646" w:rsidR="001E68EE" w:rsidRDefault="007D46BC" w:rsidP="00324BE7">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appears that t</w:t>
      </w:r>
      <w:r w:rsidR="00773270">
        <w:rPr>
          <w:rFonts w:ascii="Times New Roman" w:eastAsia="Times New Roman" w:hAnsi="Times New Roman" w:cs="Times New Roman"/>
          <w:sz w:val="24"/>
          <w:szCs w:val="24"/>
        </w:rPr>
        <w:t>he</w:t>
      </w:r>
      <w:r w:rsidR="00F1145C">
        <w:rPr>
          <w:rFonts w:ascii="Times New Roman" w:eastAsia="Times New Roman" w:hAnsi="Times New Roman" w:cs="Times New Roman"/>
          <w:sz w:val="24"/>
          <w:szCs w:val="24"/>
        </w:rPr>
        <w:t xml:space="preserve">re are two major options </w:t>
      </w:r>
      <w:r>
        <w:rPr>
          <w:rFonts w:ascii="Times New Roman" w:eastAsia="Times New Roman" w:hAnsi="Times New Roman" w:cs="Times New Roman"/>
          <w:sz w:val="24"/>
          <w:szCs w:val="24"/>
        </w:rPr>
        <w:t>if the Commission chooses to move forward in this area of the law at this time</w:t>
      </w:r>
      <w:r w:rsidR="00F1145C">
        <w:rPr>
          <w:rFonts w:ascii="Times New Roman" w:eastAsia="Times New Roman" w:hAnsi="Times New Roman" w:cs="Times New Roman"/>
          <w:sz w:val="24"/>
          <w:szCs w:val="24"/>
        </w:rPr>
        <w:t>: (1)</w:t>
      </w:r>
      <w:r w:rsidR="007732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proposing</w:t>
      </w:r>
      <w:r w:rsidR="00773270">
        <w:rPr>
          <w:rFonts w:ascii="Times New Roman" w:eastAsia="Times New Roman" w:hAnsi="Times New Roman" w:cs="Times New Roman"/>
          <w:sz w:val="24"/>
          <w:szCs w:val="24"/>
        </w:rPr>
        <w:t xml:space="preserve"> a statutory scheme that</w:t>
      </w:r>
      <w:r w:rsidR="00F114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identifies statutory </w:t>
      </w:r>
      <w:r w:rsidR="00F1145C">
        <w:rPr>
          <w:rFonts w:ascii="Times New Roman" w:eastAsia="Times New Roman" w:hAnsi="Times New Roman" w:cs="Times New Roman"/>
          <w:sz w:val="24"/>
          <w:szCs w:val="24"/>
        </w:rPr>
        <w:t xml:space="preserve">factors </w:t>
      </w:r>
      <w:r>
        <w:rPr>
          <w:rFonts w:ascii="Times New Roman" w:eastAsia="Times New Roman" w:hAnsi="Times New Roman" w:cs="Times New Roman"/>
          <w:sz w:val="24"/>
          <w:szCs w:val="24"/>
        </w:rPr>
        <w:t xml:space="preserve">based on the </w:t>
      </w:r>
      <w:r w:rsidR="00F1145C">
        <w:rPr>
          <w:rFonts w:ascii="Times New Roman" w:eastAsia="Times New Roman" w:hAnsi="Times New Roman" w:cs="Times New Roman"/>
          <w:sz w:val="24"/>
          <w:szCs w:val="24"/>
        </w:rPr>
        <w:t xml:space="preserve">existing </w:t>
      </w:r>
      <w:r>
        <w:rPr>
          <w:rFonts w:ascii="Times New Roman" w:eastAsia="Times New Roman" w:hAnsi="Times New Roman" w:cs="Times New Roman"/>
          <w:sz w:val="24"/>
          <w:szCs w:val="24"/>
        </w:rPr>
        <w:t xml:space="preserve">case law </w:t>
      </w:r>
      <w:r w:rsidR="00F1145C">
        <w:rPr>
          <w:rFonts w:ascii="Times New Roman" w:eastAsia="Times New Roman" w:hAnsi="Times New Roman" w:cs="Times New Roman"/>
          <w:sz w:val="24"/>
          <w:szCs w:val="24"/>
        </w:rPr>
        <w:t xml:space="preserve">balancing tests, which </w:t>
      </w:r>
      <w:r>
        <w:rPr>
          <w:rFonts w:ascii="Times New Roman" w:eastAsia="Times New Roman" w:hAnsi="Times New Roman" w:cs="Times New Roman"/>
          <w:sz w:val="24"/>
          <w:szCs w:val="24"/>
        </w:rPr>
        <w:t>would codify the status quo with its inherent limitations an</w:t>
      </w:r>
      <w:r w:rsidR="00F1145C">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potentially result in new litigation</w:t>
      </w:r>
      <w:r w:rsidR="00F1145C">
        <w:rPr>
          <w:rFonts w:ascii="Times New Roman" w:eastAsia="Times New Roman" w:hAnsi="Times New Roman" w:cs="Times New Roman"/>
          <w:sz w:val="24"/>
          <w:szCs w:val="24"/>
        </w:rPr>
        <w:t>;</w:t>
      </w:r>
      <w:r w:rsidR="00773270">
        <w:rPr>
          <w:rFonts w:ascii="Times New Roman" w:eastAsia="Times New Roman" w:hAnsi="Times New Roman" w:cs="Times New Roman"/>
          <w:sz w:val="24"/>
          <w:szCs w:val="24"/>
        </w:rPr>
        <w:t xml:space="preserve"> or </w:t>
      </w:r>
      <w:r w:rsidR="00F1145C">
        <w:rPr>
          <w:rFonts w:ascii="Times New Roman" w:eastAsia="Times New Roman" w:hAnsi="Times New Roman" w:cs="Times New Roman"/>
          <w:sz w:val="24"/>
          <w:szCs w:val="24"/>
        </w:rPr>
        <w:t>(2)</w:t>
      </w:r>
      <w:r w:rsidR="00324BE7">
        <w:rPr>
          <w:rFonts w:ascii="Times New Roman" w:eastAsia="Times New Roman" w:hAnsi="Times New Roman" w:cs="Times New Roman"/>
          <w:sz w:val="24"/>
          <w:szCs w:val="24"/>
        </w:rPr>
        <w:t xml:space="preserve"> roll back the rules to remove liability for private owners, which </w:t>
      </w:r>
      <w:r w:rsidR="00271A77">
        <w:rPr>
          <w:rFonts w:ascii="Times New Roman" w:eastAsia="Times New Roman" w:hAnsi="Times New Roman" w:cs="Times New Roman"/>
          <w:sz w:val="24"/>
          <w:szCs w:val="24"/>
        </w:rPr>
        <w:t xml:space="preserve">would </w:t>
      </w:r>
      <w:r w:rsidR="001E68EE">
        <w:rPr>
          <w:rFonts w:ascii="Times New Roman" w:eastAsia="Times New Roman" w:hAnsi="Times New Roman" w:cs="Times New Roman"/>
          <w:sz w:val="24"/>
          <w:szCs w:val="24"/>
        </w:rPr>
        <w:t xml:space="preserve">run counter to a line of cases determining that to be unfair </w:t>
      </w:r>
      <w:r w:rsidR="00C707E7">
        <w:rPr>
          <w:rFonts w:ascii="Times New Roman" w:eastAsia="Times New Roman" w:hAnsi="Times New Roman" w:cs="Times New Roman"/>
          <w:sz w:val="24"/>
          <w:szCs w:val="24"/>
        </w:rPr>
        <w:t>to pedestrians</w:t>
      </w:r>
      <w:r w:rsidR="00324BE7">
        <w:rPr>
          <w:rFonts w:ascii="Times New Roman" w:eastAsia="Times New Roman" w:hAnsi="Times New Roman" w:cs="Times New Roman"/>
          <w:sz w:val="24"/>
          <w:szCs w:val="24"/>
        </w:rPr>
        <w:t>.</w:t>
      </w:r>
      <w:r w:rsidR="00C3086D">
        <w:rPr>
          <w:rFonts w:ascii="Times New Roman" w:eastAsia="Times New Roman" w:hAnsi="Times New Roman" w:cs="Times New Roman"/>
          <w:sz w:val="24"/>
          <w:szCs w:val="24"/>
        </w:rPr>
        <w:t xml:space="preserve"> </w:t>
      </w:r>
    </w:p>
    <w:p w14:paraId="36F24DCE" w14:textId="77777777" w:rsidR="001E68EE" w:rsidRDefault="001E68EE" w:rsidP="00324BE7">
      <w:pPr>
        <w:spacing w:line="276" w:lineRule="auto"/>
        <w:ind w:firstLine="720"/>
        <w:jc w:val="both"/>
        <w:rPr>
          <w:rFonts w:ascii="Times New Roman" w:eastAsia="Times New Roman" w:hAnsi="Times New Roman" w:cs="Times New Roman"/>
          <w:sz w:val="24"/>
          <w:szCs w:val="24"/>
        </w:rPr>
      </w:pPr>
    </w:p>
    <w:p w14:paraId="69054C8E" w14:textId="36661179" w:rsidR="00853A15" w:rsidRPr="00324BE7" w:rsidRDefault="001E68EE" w:rsidP="00324BE7">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it has been some time since the Commission last considered this issue, Staff wished to bring it to the attention of the Commission before undertaking additional research and drafting to see if the Commission wished to provide guidance or direction.</w:t>
      </w:r>
    </w:p>
    <w:sectPr w:rsidR="00853A15" w:rsidRPr="00324BE7" w:rsidSect="00152C5E">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12AE0" w14:textId="77777777" w:rsidR="00074A1C" w:rsidRDefault="00074A1C" w:rsidP="005E572A">
      <w:r>
        <w:separator/>
      </w:r>
    </w:p>
  </w:endnote>
  <w:endnote w:type="continuationSeparator" w:id="0">
    <w:p w14:paraId="258DB500" w14:textId="77777777" w:rsidR="00074A1C" w:rsidRDefault="00074A1C" w:rsidP="005E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43BE7" w14:textId="77777777" w:rsidR="00152C5E" w:rsidRDefault="00A5203F" w:rsidP="000E74F9">
    <w:pPr>
      <w:pStyle w:val="Footer"/>
      <w:jc w:val="center"/>
      <w:rPr>
        <w:rFonts w:ascii="Times New Roman" w:hAnsi="Times New Roman" w:cs="Times New Roman"/>
        <w:sz w:val="20"/>
        <w:szCs w:val="20"/>
      </w:rPr>
    </w:pPr>
    <w:r w:rsidRPr="0074698C">
      <w:rPr>
        <w:rFonts w:ascii="Times New Roman" w:hAnsi="Times New Roman" w:cs="Times New Roman"/>
        <w:sz w:val="20"/>
        <w:szCs w:val="20"/>
      </w:rPr>
      <w:t xml:space="preserve">Memorandum </w:t>
    </w:r>
    <w:r w:rsidR="00CC7D16">
      <w:rPr>
        <w:rFonts w:ascii="Times New Roman" w:hAnsi="Times New Roman" w:cs="Times New Roman"/>
        <w:sz w:val="20"/>
        <w:szCs w:val="20"/>
      </w:rPr>
      <w:t>–</w:t>
    </w:r>
    <w:r w:rsidRPr="0074698C">
      <w:rPr>
        <w:rFonts w:ascii="Times New Roman" w:hAnsi="Times New Roman" w:cs="Times New Roman"/>
        <w:sz w:val="20"/>
        <w:szCs w:val="20"/>
      </w:rPr>
      <w:t xml:space="preserve"> </w:t>
    </w:r>
    <w:r w:rsidR="00CC7D16">
      <w:rPr>
        <w:rFonts w:ascii="Times New Roman" w:hAnsi="Times New Roman" w:cs="Times New Roman"/>
        <w:sz w:val="20"/>
        <w:szCs w:val="20"/>
      </w:rPr>
      <w:t>Sidewalk Tort Liability</w:t>
    </w:r>
  </w:p>
  <w:p w14:paraId="6C4AF67D" w14:textId="77777777" w:rsidR="00152C5E" w:rsidRDefault="00CC7D16" w:rsidP="000E74F9">
    <w:pPr>
      <w:pStyle w:val="Footer"/>
      <w:jc w:val="center"/>
      <w:rPr>
        <w:rFonts w:ascii="Times New Roman" w:hAnsi="Times New Roman" w:cs="Times New Roman"/>
        <w:sz w:val="20"/>
        <w:szCs w:val="20"/>
      </w:rPr>
    </w:pPr>
    <w:r>
      <w:rPr>
        <w:rFonts w:ascii="Times New Roman" w:hAnsi="Times New Roman" w:cs="Times New Roman"/>
        <w:sz w:val="20"/>
        <w:szCs w:val="20"/>
      </w:rPr>
      <w:t>March 29, 2018</w:t>
    </w:r>
  </w:p>
  <w:p w14:paraId="12DF16FE" w14:textId="77777777" w:rsidR="0074698C" w:rsidRPr="0074698C" w:rsidRDefault="00A5203F" w:rsidP="000E74F9">
    <w:pPr>
      <w:pStyle w:val="Footer"/>
      <w:jc w:val="center"/>
      <w:rPr>
        <w:rFonts w:ascii="Times New Roman" w:hAnsi="Times New Roman" w:cs="Times New Roman"/>
        <w:sz w:val="20"/>
        <w:szCs w:val="20"/>
      </w:rPr>
    </w:pPr>
    <w:r w:rsidRPr="0074698C">
      <w:rPr>
        <w:rFonts w:ascii="Times New Roman" w:hAnsi="Times New Roman" w:cs="Times New Roman"/>
        <w:sz w:val="20"/>
        <w:szCs w:val="20"/>
      </w:rPr>
      <w:t xml:space="preserve">Page </w:t>
    </w:r>
    <w:r w:rsidRPr="0074698C">
      <w:rPr>
        <w:rFonts w:ascii="Times New Roman" w:hAnsi="Times New Roman" w:cs="Times New Roman"/>
        <w:sz w:val="20"/>
        <w:szCs w:val="20"/>
      </w:rPr>
      <w:fldChar w:fldCharType="begin"/>
    </w:r>
    <w:r w:rsidRPr="0074698C">
      <w:rPr>
        <w:rFonts w:ascii="Times New Roman" w:hAnsi="Times New Roman" w:cs="Times New Roman"/>
        <w:sz w:val="20"/>
        <w:szCs w:val="20"/>
      </w:rPr>
      <w:instrText xml:space="preserve"> PAGE   \* MERGEFORMAT </w:instrText>
    </w:r>
    <w:r w:rsidRPr="0074698C">
      <w:rPr>
        <w:rFonts w:ascii="Times New Roman" w:hAnsi="Times New Roman" w:cs="Times New Roman"/>
        <w:sz w:val="20"/>
        <w:szCs w:val="20"/>
      </w:rPr>
      <w:fldChar w:fldCharType="separate"/>
    </w:r>
    <w:r w:rsidR="001321D1">
      <w:rPr>
        <w:rFonts w:ascii="Times New Roman" w:hAnsi="Times New Roman" w:cs="Times New Roman"/>
        <w:noProof/>
        <w:sz w:val="20"/>
        <w:szCs w:val="20"/>
      </w:rPr>
      <w:t>1</w:t>
    </w:r>
    <w:r w:rsidRPr="0074698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C1E6B" w14:textId="77777777" w:rsidR="00074A1C" w:rsidRDefault="00074A1C" w:rsidP="005E572A">
      <w:r>
        <w:separator/>
      </w:r>
    </w:p>
  </w:footnote>
  <w:footnote w:type="continuationSeparator" w:id="0">
    <w:p w14:paraId="3AE25D55" w14:textId="77777777" w:rsidR="00074A1C" w:rsidRDefault="00074A1C" w:rsidP="005E572A">
      <w:r>
        <w:continuationSeparator/>
      </w:r>
    </w:p>
  </w:footnote>
  <w:footnote w:id="1">
    <w:p w14:paraId="05836C93" w14:textId="77777777" w:rsidR="00321B30" w:rsidRDefault="00321B30" w:rsidP="00171706">
      <w:pPr>
        <w:pStyle w:val="FootnoteText"/>
        <w:jc w:val="both"/>
      </w:pPr>
      <w:r>
        <w:rPr>
          <w:rStyle w:val="FootnoteReference"/>
        </w:rPr>
        <w:footnoteRef/>
      </w:r>
      <w:r>
        <w:t xml:space="preserve"> 87 N.J. 146 (1981).</w:t>
      </w:r>
    </w:p>
  </w:footnote>
  <w:footnote w:id="2">
    <w:p w14:paraId="1DE8F109" w14:textId="77777777" w:rsidR="00321B30" w:rsidRDefault="00321B30" w:rsidP="00171706">
      <w:pPr>
        <w:pStyle w:val="FootnoteText"/>
        <w:jc w:val="both"/>
      </w:pPr>
      <w:r>
        <w:rPr>
          <w:rStyle w:val="FootnoteReference"/>
        </w:rPr>
        <w:footnoteRef/>
      </w:r>
      <w:r>
        <w:t xml:space="preserve"> 207 N.J. 191 (2011).</w:t>
      </w:r>
    </w:p>
  </w:footnote>
  <w:footnote w:id="3">
    <w:p w14:paraId="0C73B180" w14:textId="77777777" w:rsidR="00321B30" w:rsidRDefault="00321B30" w:rsidP="00171706">
      <w:pPr>
        <w:pStyle w:val="FootnoteText"/>
        <w:jc w:val="both"/>
      </w:pPr>
      <w:r>
        <w:rPr>
          <w:rStyle w:val="FootnoteReference"/>
        </w:rPr>
        <w:footnoteRef/>
      </w:r>
      <w:r>
        <w:t xml:space="preserve"> 223 N.J. 124 (2015).</w:t>
      </w:r>
    </w:p>
  </w:footnote>
  <w:footnote w:id="4">
    <w:p w14:paraId="4D6D3D10" w14:textId="77777777" w:rsidR="00321B30" w:rsidRPr="00764795" w:rsidRDefault="00321B30" w:rsidP="00171706">
      <w:pPr>
        <w:pStyle w:val="FootnoteText"/>
        <w:jc w:val="both"/>
      </w:pPr>
      <w:r>
        <w:rPr>
          <w:rStyle w:val="FootnoteReference"/>
        </w:rPr>
        <w:footnoteRef/>
      </w:r>
      <w:r>
        <w:t xml:space="preserve"> </w:t>
      </w:r>
      <w:r w:rsidRPr="00C83CC2">
        <w:rPr>
          <w:i/>
        </w:rPr>
        <w:t>Sacco v. Hall</w:t>
      </w:r>
      <w:r>
        <w:t>, 1 N.J. 377, 381 (1949).</w:t>
      </w:r>
    </w:p>
  </w:footnote>
  <w:footnote w:id="5">
    <w:p w14:paraId="72CC662D" w14:textId="7BD9CA61" w:rsidR="00D713C5" w:rsidRPr="00CC7D16" w:rsidRDefault="00D713C5" w:rsidP="00171706">
      <w:pPr>
        <w:pStyle w:val="FootnoteText"/>
        <w:jc w:val="both"/>
      </w:pPr>
      <w:r>
        <w:rPr>
          <w:rStyle w:val="FootnoteReference"/>
        </w:rPr>
        <w:footnoteRef/>
      </w:r>
      <w:r>
        <w:t xml:space="preserve"> </w:t>
      </w:r>
      <w:r w:rsidR="00CC7D16">
        <w:t xml:space="preserve">Donald F. Burke, </w:t>
      </w:r>
      <w:r w:rsidR="00CC7D16">
        <w:rPr>
          <w:i/>
        </w:rPr>
        <w:t>Slipping Through the Cracks: The Shoddy State of New Jersey Sidewalk Liability Law Cries Out for Repair</w:t>
      </w:r>
      <w:r w:rsidR="00CC7D16">
        <w:t xml:space="preserve">, 36 </w:t>
      </w:r>
      <w:r w:rsidR="00CC7D16" w:rsidRPr="00CC7D16">
        <w:rPr>
          <w:smallCaps/>
        </w:rPr>
        <w:t>Seton Hall Legis. J.</w:t>
      </w:r>
      <w:r w:rsidR="00CC7D16">
        <w:t xml:space="preserve"> 225</w:t>
      </w:r>
      <w:r w:rsidR="002B7D02">
        <w:t>, 228</w:t>
      </w:r>
      <w:r w:rsidR="00CC7D16">
        <w:t xml:space="preserve"> (2012).</w:t>
      </w:r>
      <w:r w:rsidR="00B43D5C">
        <w:t xml:space="preserve"> Burke’s article</w:t>
      </w:r>
      <w:r w:rsidR="00331247">
        <w:t>, also cited in the presentation memo,</w:t>
      </w:r>
      <w:r w:rsidR="00B43D5C">
        <w:t xml:space="preserve"> takes a comprehensive look at sidewalk tort liability law in New Jersey and serves as the basis for most of </w:t>
      </w:r>
      <w:r w:rsidR="00C83CC2">
        <w:t xml:space="preserve">the position taken in </w:t>
      </w:r>
      <w:r w:rsidR="00B43D5C">
        <w:t>this memo.</w:t>
      </w:r>
      <w:r w:rsidR="00530E62">
        <w:t xml:space="preserve"> </w:t>
      </w:r>
      <w:r w:rsidR="00C83CC2">
        <w:t xml:space="preserve">Also reviewed were </w:t>
      </w:r>
      <w:r w:rsidR="00530E62">
        <w:t xml:space="preserve">the New Jersey cases found in </w:t>
      </w:r>
      <w:r w:rsidR="00530E62" w:rsidRPr="00530E62">
        <w:t>88 A.L.R.2d 331</w:t>
      </w:r>
      <w:r w:rsidR="00530E62">
        <w:t xml:space="preserve"> (“liability of abutting owner or occupant for condition of sidewalk”).</w:t>
      </w:r>
    </w:p>
  </w:footnote>
  <w:footnote w:id="6">
    <w:p w14:paraId="2678C49C" w14:textId="77777777" w:rsidR="009964E1" w:rsidRPr="009964E1" w:rsidRDefault="009964E1" w:rsidP="00171706">
      <w:pPr>
        <w:pStyle w:val="FootnoteText"/>
        <w:jc w:val="both"/>
      </w:pPr>
      <w:r>
        <w:rPr>
          <w:rStyle w:val="FootnoteReference"/>
        </w:rPr>
        <w:footnoteRef/>
      </w:r>
      <w:r>
        <w:t xml:space="preserve"> </w:t>
      </w:r>
      <w:r>
        <w:rPr>
          <w:i/>
        </w:rPr>
        <w:t xml:space="preserve">Id. </w:t>
      </w:r>
      <w:r>
        <w:t>at 228–</w:t>
      </w:r>
      <w:r w:rsidR="00A30E27">
        <w:t>30</w:t>
      </w:r>
      <w:r>
        <w:t>.</w:t>
      </w:r>
    </w:p>
  </w:footnote>
  <w:footnote w:id="7">
    <w:p w14:paraId="021B5CAF" w14:textId="77777777" w:rsidR="009A338B" w:rsidRPr="009A338B" w:rsidRDefault="009A338B" w:rsidP="00171706">
      <w:pPr>
        <w:pStyle w:val="FootnoteText"/>
        <w:jc w:val="both"/>
      </w:pPr>
      <w:r>
        <w:rPr>
          <w:rStyle w:val="FootnoteReference"/>
        </w:rPr>
        <w:footnoteRef/>
      </w:r>
      <w:r>
        <w:t xml:space="preserve"> </w:t>
      </w:r>
      <w:r>
        <w:rPr>
          <w:i/>
        </w:rPr>
        <w:t xml:space="preserve">Id. </w:t>
      </w:r>
      <w:r>
        <w:t>at 231.</w:t>
      </w:r>
    </w:p>
  </w:footnote>
  <w:footnote w:id="8">
    <w:p w14:paraId="6EBF480A" w14:textId="77777777" w:rsidR="00E07C62" w:rsidRPr="00E07C62" w:rsidRDefault="00E07C62" w:rsidP="00171706">
      <w:pPr>
        <w:pStyle w:val="FootnoteText"/>
        <w:jc w:val="both"/>
      </w:pPr>
      <w:r>
        <w:rPr>
          <w:rStyle w:val="FootnoteReference"/>
        </w:rPr>
        <w:footnoteRef/>
      </w:r>
      <w:r>
        <w:t xml:space="preserve"> </w:t>
      </w:r>
      <w:r>
        <w:rPr>
          <w:i/>
        </w:rPr>
        <w:t xml:space="preserve">Id. </w:t>
      </w:r>
      <w:r>
        <w:t>at 233.</w:t>
      </w:r>
    </w:p>
  </w:footnote>
  <w:footnote w:id="9">
    <w:p w14:paraId="3B3B96C1" w14:textId="77777777" w:rsidR="0002750B" w:rsidRPr="0002750B" w:rsidRDefault="0002750B" w:rsidP="00171706">
      <w:pPr>
        <w:pStyle w:val="FootnoteText"/>
        <w:jc w:val="both"/>
      </w:pPr>
      <w:r>
        <w:rPr>
          <w:rStyle w:val="FootnoteReference"/>
        </w:rPr>
        <w:footnoteRef/>
      </w:r>
      <w:r>
        <w:t xml:space="preserve"> </w:t>
      </w:r>
      <w:r>
        <w:rPr>
          <w:i/>
        </w:rPr>
        <w:t xml:space="preserve">Id. </w:t>
      </w:r>
      <w:r>
        <w:t>at 238–40.</w:t>
      </w:r>
    </w:p>
  </w:footnote>
  <w:footnote w:id="10">
    <w:p w14:paraId="781342E6" w14:textId="77777777" w:rsidR="00630127" w:rsidRPr="00630127" w:rsidRDefault="00630127" w:rsidP="00171706">
      <w:pPr>
        <w:pStyle w:val="FootnoteText"/>
        <w:jc w:val="both"/>
        <w:rPr>
          <w:i/>
        </w:rPr>
      </w:pPr>
      <w:r>
        <w:rPr>
          <w:rStyle w:val="FootnoteReference"/>
        </w:rPr>
        <w:footnoteRef/>
      </w:r>
      <w:r>
        <w:t xml:space="preserve"> </w:t>
      </w:r>
      <w:r>
        <w:rPr>
          <w:i/>
        </w:rPr>
        <w:t xml:space="preserve">Id. </w:t>
      </w:r>
      <w:r>
        <w:t xml:space="preserve">For religious and charitable entities, this balancing test is imposed without regard for the Charitable Immunity Act. </w:t>
      </w:r>
      <w:r>
        <w:rPr>
          <w:i/>
        </w:rPr>
        <w:t>Id.</w:t>
      </w:r>
    </w:p>
  </w:footnote>
  <w:footnote w:id="11">
    <w:p w14:paraId="15FA7B20" w14:textId="77777777" w:rsidR="00630127" w:rsidRDefault="00630127" w:rsidP="00171706">
      <w:pPr>
        <w:pStyle w:val="FootnoteText"/>
        <w:jc w:val="both"/>
      </w:pPr>
      <w:r>
        <w:rPr>
          <w:rStyle w:val="FootnoteReference"/>
        </w:rPr>
        <w:footnoteRef/>
      </w:r>
      <w:r>
        <w:t xml:space="preserve"> 111 N.J. 325 (1988)</w:t>
      </w:r>
      <w:r w:rsidR="007C5B3E">
        <w:t>; Burke,</w:t>
      </w:r>
      <w:r w:rsidR="007C5B3E" w:rsidRPr="007C5B3E">
        <w:t xml:space="preserve"> </w:t>
      </w:r>
      <w:r w:rsidR="007C5B3E">
        <w:t xml:space="preserve">36 </w:t>
      </w:r>
      <w:r w:rsidR="007C5B3E" w:rsidRPr="00CC7D16">
        <w:rPr>
          <w:smallCaps/>
        </w:rPr>
        <w:t>Seton Hall Legis. J.</w:t>
      </w:r>
      <w:r w:rsidR="007C5B3E">
        <w:t xml:space="preserve"> at 234–35</w:t>
      </w:r>
      <w:r>
        <w:t>.</w:t>
      </w:r>
    </w:p>
  </w:footnote>
  <w:footnote w:id="12">
    <w:p w14:paraId="455240FC" w14:textId="77777777" w:rsidR="006808E2" w:rsidRPr="007C5B3E" w:rsidRDefault="006808E2" w:rsidP="00171706">
      <w:pPr>
        <w:pStyle w:val="FootnoteText"/>
        <w:jc w:val="both"/>
      </w:pPr>
      <w:r>
        <w:rPr>
          <w:rStyle w:val="FootnoteReference"/>
        </w:rPr>
        <w:footnoteRef/>
      </w:r>
      <w:r>
        <w:t xml:space="preserve"> </w:t>
      </w:r>
      <w:r w:rsidR="007C5B3E">
        <w:t>111 N.J. 325 (1988); Burke,</w:t>
      </w:r>
      <w:r w:rsidR="007C5B3E" w:rsidRPr="007C5B3E">
        <w:t xml:space="preserve"> </w:t>
      </w:r>
      <w:r w:rsidR="007C5B3E">
        <w:t xml:space="preserve">36 </w:t>
      </w:r>
      <w:r w:rsidR="007C5B3E" w:rsidRPr="00CC7D16">
        <w:rPr>
          <w:smallCaps/>
        </w:rPr>
        <w:t>Seton Hall Legis. J.</w:t>
      </w:r>
      <w:r w:rsidR="007C5B3E">
        <w:t xml:space="preserve"> at 234–35. </w:t>
      </w:r>
      <w:r w:rsidR="007C5B3E">
        <w:rPr>
          <w:i/>
        </w:rPr>
        <w:t xml:space="preserve">St. Venantius School </w:t>
      </w:r>
      <w:r w:rsidR="007C5B3E">
        <w:t xml:space="preserve">is only one of several cases imposing commercial-style liability on religious/charitable entities. </w:t>
      </w:r>
      <w:r w:rsidR="007C5B3E">
        <w:rPr>
          <w:i/>
        </w:rPr>
        <w:t xml:space="preserve">Id. </w:t>
      </w:r>
      <w:r w:rsidR="007C5B3E">
        <w:t>at 233–37.</w:t>
      </w:r>
    </w:p>
  </w:footnote>
  <w:footnote w:id="13">
    <w:p w14:paraId="7F93CC86" w14:textId="77777777" w:rsidR="007360EE" w:rsidRPr="007360EE" w:rsidRDefault="007360EE" w:rsidP="00171706">
      <w:pPr>
        <w:pStyle w:val="FootnoteText"/>
        <w:jc w:val="both"/>
      </w:pPr>
      <w:r>
        <w:rPr>
          <w:rStyle w:val="FootnoteReference"/>
        </w:rPr>
        <w:footnoteRef/>
      </w:r>
      <w:r>
        <w:t xml:space="preserve"> </w:t>
      </w:r>
      <w:r>
        <w:rPr>
          <w:i/>
        </w:rPr>
        <w:t xml:space="preserve">Id. </w:t>
      </w:r>
      <w:r>
        <w:t>at 240.</w:t>
      </w:r>
    </w:p>
  </w:footnote>
  <w:footnote w:id="14">
    <w:p w14:paraId="641A2DBC" w14:textId="77777777" w:rsidR="006B7828" w:rsidRPr="006B7828" w:rsidRDefault="006B7828" w:rsidP="00171706">
      <w:pPr>
        <w:pStyle w:val="FootnoteText"/>
        <w:jc w:val="both"/>
      </w:pPr>
      <w:r>
        <w:rPr>
          <w:rStyle w:val="FootnoteReference"/>
        </w:rPr>
        <w:footnoteRef/>
      </w:r>
      <w:r>
        <w:t xml:space="preserve"> </w:t>
      </w:r>
      <w:r>
        <w:rPr>
          <w:i/>
        </w:rPr>
        <w:t xml:space="preserve">Id. </w:t>
      </w:r>
      <w:r>
        <w:t xml:space="preserve">at 240–42 (discussing </w:t>
      </w:r>
      <w:r w:rsidRPr="00C83CC2">
        <w:rPr>
          <w:i/>
        </w:rPr>
        <w:t>Hambright v. Yglesias</w:t>
      </w:r>
      <w:r w:rsidRPr="006B7828">
        <w:t xml:space="preserve">, </w:t>
      </w:r>
      <w:r w:rsidR="00B43D5C">
        <w:t>200</w:t>
      </w:r>
      <w:r>
        <w:t xml:space="preserve"> N.J.</w:t>
      </w:r>
      <w:r w:rsidR="00B43D5C">
        <w:t xml:space="preserve"> Super.</w:t>
      </w:r>
      <w:r>
        <w:t xml:space="preserve"> </w:t>
      </w:r>
      <w:r w:rsidR="00B43D5C">
        <w:t>392</w:t>
      </w:r>
      <w:r>
        <w:t xml:space="preserve"> (</w:t>
      </w:r>
      <w:r w:rsidR="00B43D5C">
        <w:t>App. Div. 1985</w:t>
      </w:r>
      <w:r>
        <w:t xml:space="preserve">); </w:t>
      </w:r>
      <w:r w:rsidRPr="00C83CC2">
        <w:rPr>
          <w:i/>
        </w:rPr>
        <w:t>Gilhooly v. Zeta</w:t>
      </w:r>
      <w:r w:rsidR="00171706" w:rsidRPr="00C83CC2">
        <w:rPr>
          <w:i/>
        </w:rPr>
        <w:t xml:space="preserve"> Psi Fraternity</w:t>
      </w:r>
      <w:r w:rsidR="00171706">
        <w:t>, 243</w:t>
      </w:r>
      <w:r w:rsidR="00B43D5C">
        <w:t xml:space="preserve"> N.J.</w:t>
      </w:r>
      <w:r w:rsidR="00171706">
        <w:t xml:space="preserve"> Super.</w:t>
      </w:r>
      <w:r w:rsidR="00B43D5C">
        <w:t xml:space="preserve"> </w:t>
      </w:r>
      <w:r w:rsidR="00171706">
        <w:t>201</w:t>
      </w:r>
      <w:r w:rsidR="00B43D5C">
        <w:t xml:space="preserve"> (</w:t>
      </w:r>
      <w:r w:rsidR="00171706">
        <w:t>Law Div. 1990</w:t>
      </w:r>
      <w:r w:rsidR="00B43D5C">
        <w:t>))</w:t>
      </w:r>
      <w:r w:rsidR="005E7B01">
        <w:t>.</w:t>
      </w:r>
    </w:p>
  </w:footnote>
  <w:footnote w:id="15">
    <w:p w14:paraId="5B596547" w14:textId="77777777" w:rsidR="006B7828" w:rsidRPr="006B7828" w:rsidRDefault="006B7828" w:rsidP="00171706">
      <w:pPr>
        <w:pStyle w:val="FootnoteText"/>
        <w:jc w:val="both"/>
      </w:pPr>
      <w:r>
        <w:rPr>
          <w:rStyle w:val="FootnoteReference"/>
        </w:rPr>
        <w:footnoteRef/>
      </w:r>
      <w:r>
        <w:t xml:space="preserve"> </w:t>
      </w:r>
      <w:r>
        <w:rPr>
          <w:i/>
        </w:rPr>
        <w:t>Id.</w:t>
      </w:r>
      <w:r w:rsidRPr="006B7828">
        <w:t xml:space="preserve"> </w:t>
      </w:r>
      <w:r>
        <w:t xml:space="preserve">at 242–49 (discussing </w:t>
      </w:r>
      <w:r w:rsidRPr="00C83CC2">
        <w:rPr>
          <w:i/>
        </w:rPr>
        <w:t>Borges v. Hamed</w:t>
      </w:r>
      <w:r w:rsidRPr="006B7828">
        <w:t xml:space="preserve">, </w:t>
      </w:r>
      <w:r w:rsidR="005E7B01">
        <w:t>247</w:t>
      </w:r>
      <w:r w:rsidRPr="006B7828">
        <w:t xml:space="preserve"> N.J.</w:t>
      </w:r>
      <w:r w:rsidR="005E7B01">
        <w:t xml:space="preserve"> Super. 295</w:t>
      </w:r>
      <w:r w:rsidRPr="006B7828">
        <w:t xml:space="preserve"> (</w:t>
      </w:r>
      <w:r w:rsidR="005E7B01">
        <w:t>App. Div. 1991</w:t>
      </w:r>
      <w:r w:rsidRPr="006B7828">
        <w:t xml:space="preserve">); </w:t>
      </w:r>
      <w:r w:rsidRPr="00C83CC2">
        <w:rPr>
          <w:i/>
        </w:rPr>
        <w:t>Smith v. Young</w:t>
      </w:r>
      <w:r>
        <w:t xml:space="preserve">, </w:t>
      </w:r>
      <w:r w:rsidR="005E7B01">
        <w:t>300</w:t>
      </w:r>
      <w:r>
        <w:t xml:space="preserve"> N.J.</w:t>
      </w:r>
      <w:r w:rsidR="005E7B01">
        <w:t xml:space="preserve"> Super.</w:t>
      </w:r>
      <w:r>
        <w:t xml:space="preserve"> </w:t>
      </w:r>
      <w:r w:rsidR="005E7B01">
        <w:t>82</w:t>
      </w:r>
      <w:r>
        <w:t xml:space="preserve"> (</w:t>
      </w:r>
      <w:r w:rsidR="005E7B01">
        <w:t>App. Div. 1997</w:t>
      </w:r>
      <w:r>
        <w:t xml:space="preserve">); </w:t>
      </w:r>
      <w:r w:rsidRPr="00C83CC2">
        <w:rPr>
          <w:i/>
        </w:rPr>
        <w:t>Luchejko v. City of Hoboken</w:t>
      </w:r>
      <w:r>
        <w:t>, 207 N.J. 191 (2011))</w:t>
      </w:r>
      <w:r w:rsidR="00E32280">
        <w:t>.</w:t>
      </w:r>
    </w:p>
  </w:footnote>
  <w:footnote w:id="16">
    <w:p w14:paraId="0F8F48C9" w14:textId="77777777" w:rsidR="00F907D9" w:rsidRPr="00F907D9" w:rsidRDefault="00F907D9">
      <w:pPr>
        <w:pStyle w:val="FootnoteText"/>
      </w:pPr>
      <w:r>
        <w:rPr>
          <w:rStyle w:val="FootnoteReference"/>
        </w:rPr>
        <w:footnoteRef/>
      </w:r>
      <w:r>
        <w:t xml:space="preserve"> </w:t>
      </w:r>
      <w:r>
        <w:rPr>
          <w:i/>
        </w:rPr>
        <w:t>Luchejko</w:t>
      </w:r>
      <w:r>
        <w:t>, 207 N.J. at 215, 223–24.</w:t>
      </w:r>
    </w:p>
  </w:footnote>
  <w:footnote w:id="17">
    <w:p w14:paraId="06E80164" w14:textId="77777777" w:rsidR="00E2135E" w:rsidRDefault="00E2135E">
      <w:pPr>
        <w:pStyle w:val="FootnoteText"/>
      </w:pPr>
      <w:r>
        <w:rPr>
          <w:rStyle w:val="FootnoteReference"/>
        </w:rPr>
        <w:footnoteRef/>
      </w:r>
      <w:r>
        <w:t xml:space="preserve"> Burke,</w:t>
      </w:r>
      <w:r w:rsidRPr="007C5B3E">
        <w:t xml:space="preserve"> </w:t>
      </w:r>
      <w:r>
        <w:t xml:space="preserve">36 </w:t>
      </w:r>
      <w:r w:rsidRPr="00CC7D16">
        <w:rPr>
          <w:smallCaps/>
        </w:rPr>
        <w:t>Seton Hall Legis. J.</w:t>
      </w:r>
      <w:r>
        <w:t xml:space="preserve"> at 269.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2A"/>
    <w:rsid w:val="0002750B"/>
    <w:rsid w:val="00046782"/>
    <w:rsid w:val="00064DCE"/>
    <w:rsid w:val="00074A1C"/>
    <w:rsid w:val="000E74F9"/>
    <w:rsid w:val="001321D1"/>
    <w:rsid w:val="00152C5E"/>
    <w:rsid w:val="00171706"/>
    <w:rsid w:val="001E68EE"/>
    <w:rsid w:val="001F2A62"/>
    <w:rsid w:val="002145E0"/>
    <w:rsid w:val="0023152F"/>
    <w:rsid w:val="002369F1"/>
    <w:rsid w:val="00271A77"/>
    <w:rsid w:val="002B7D02"/>
    <w:rsid w:val="00321B30"/>
    <w:rsid w:val="00324BE7"/>
    <w:rsid w:val="00331247"/>
    <w:rsid w:val="003A12FB"/>
    <w:rsid w:val="00431C2A"/>
    <w:rsid w:val="004866BA"/>
    <w:rsid w:val="00530E62"/>
    <w:rsid w:val="005E572A"/>
    <w:rsid w:val="005E7B01"/>
    <w:rsid w:val="00601D69"/>
    <w:rsid w:val="006021F3"/>
    <w:rsid w:val="00630127"/>
    <w:rsid w:val="00633CF3"/>
    <w:rsid w:val="006808E2"/>
    <w:rsid w:val="006B7828"/>
    <w:rsid w:val="007360EE"/>
    <w:rsid w:val="00764795"/>
    <w:rsid w:val="00773270"/>
    <w:rsid w:val="00793C69"/>
    <w:rsid w:val="007C5B3E"/>
    <w:rsid w:val="007D46BC"/>
    <w:rsid w:val="00853A15"/>
    <w:rsid w:val="00870FC7"/>
    <w:rsid w:val="00870FF8"/>
    <w:rsid w:val="00954401"/>
    <w:rsid w:val="00972763"/>
    <w:rsid w:val="009964E1"/>
    <w:rsid w:val="009A338B"/>
    <w:rsid w:val="009E02D0"/>
    <w:rsid w:val="00A30E27"/>
    <w:rsid w:val="00A5203F"/>
    <w:rsid w:val="00AA2A99"/>
    <w:rsid w:val="00AC30F0"/>
    <w:rsid w:val="00B26184"/>
    <w:rsid w:val="00B43D5C"/>
    <w:rsid w:val="00BD48D4"/>
    <w:rsid w:val="00C117D0"/>
    <w:rsid w:val="00C15C5A"/>
    <w:rsid w:val="00C3086D"/>
    <w:rsid w:val="00C707E7"/>
    <w:rsid w:val="00C83CC2"/>
    <w:rsid w:val="00CA3F65"/>
    <w:rsid w:val="00CC7D16"/>
    <w:rsid w:val="00D36002"/>
    <w:rsid w:val="00D444D2"/>
    <w:rsid w:val="00D713C5"/>
    <w:rsid w:val="00DD17B4"/>
    <w:rsid w:val="00DF5E27"/>
    <w:rsid w:val="00E07C62"/>
    <w:rsid w:val="00E2135E"/>
    <w:rsid w:val="00E32280"/>
    <w:rsid w:val="00E40FD1"/>
    <w:rsid w:val="00F1145C"/>
    <w:rsid w:val="00F907D9"/>
    <w:rsid w:val="00F92A57"/>
    <w:rsid w:val="00FC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2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2A"/>
    <w:pPr>
      <w:spacing w:after="0" w:line="240"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72A"/>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E572A"/>
    <w:rPr>
      <w:rFonts w:cstheme="minorBidi"/>
      <w:b w:val="0"/>
      <w:sz w:val="20"/>
      <w:szCs w:val="20"/>
    </w:rPr>
  </w:style>
  <w:style w:type="character" w:styleId="FootnoteReference">
    <w:name w:val="footnote reference"/>
    <w:basedOn w:val="DefaultParagraphFont"/>
    <w:uiPriority w:val="99"/>
    <w:semiHidden/>
    <w:unhideWhenUsed/>
    <w:rsid w:val="005E572A"/>
    <w:rPr>
      <w:rFonts w:ascii="Times New Roman" w:hAnsi="Times New Roman"/>
      <w:vertAlign w:val="superscript"/>
    </w:rPr>
  </w:style>
  <w:style w:type="paragraph" w:styleId="Footer">
    <w:name w:val="footer"/>
    <w:basedOn w:val="Normal"/>
    <w:link w:val="FooterChar"/>
    <w:uiPriority w:val="99"/>
    <w:unhideWhenUsed/>
    <w:rsid w:val="005E572A"/>
    <w:pPr>
      <w:tabs>
        <w:tab w:val="center" w:pos="4680"/>
        <w:tab w:val="right" w:pos="9360"/>
      </w:tabs>
    </w:pPr>
  </w:style>
  <w:style w:type="character" w:customStyle="1" w:styleId="FooterChar">
    <w:name w:val="Footer Char"/>
    <w:basedOn w:val="DefaultParagraphFont"/>
    <w:link w:val="Footer"/>
    <w:uiPriority w:val="99"/>
    <w:rsid w:val="005E572A"/>
    <w:rPr>
      <w:rFonts w:asciiTheme="minorHAnsi" w:hAnsiTheme="minorHAnsi" w:cstheme="minorBidi"/>
      <w:b w:val="0"/>
      <w:sz w:val="22"/>
      <w:szCs w:val="22"/>
    </w:rPr>
  </w:style>
  <w:style w:type="paragraph" w:styleId="Header">
    <w:name w:val="header"/>
    <w:basedOn w:val="Normal"/>
    <w:link w:val="HeaderChar"/>
    <w:uiPriority w:val="99"/>
    <w:unhideWhenUsed/>
    <w:rsid w:val="000E74F9"/>
    <w:pPr>
      <w:tabs>
        <w:tab w:val="center" w:pos="4680"/>
        <w:tab w:val="right" w:pos="9360"/>
      </w:tabs>
    </w:pPr>
  </w:style>
  <w:style w:type="character" w:customStyle="1" w:styleId="HeaderChar">
    <w:name w:val="Header Char"/>
    <w:basedOn w:val="DefaultParagraphFont"/>
    <w:link w:val="Header"/>
    <w:uiPriority w:val="99"/>
    <w:rsid w:val="000E74F9"/>
    <w:rPr>
      <w:rFonts w:asciiTheme="minorHAnsi" w:hAnsiTheme="minorHAnsi" w:cstheme="minorBidi"/>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2A"/>
    <w:pPr>
      <w:spacing w:after="0" w:line="240"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72A"/>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E572A"/>
    <w:rPr>
      <w:rFonts w:cstheme="minorBidi"/>
      <w:b w:val="0"/>
      <w:sz w:val="20"/>
      <w:szCs w:val="20"/>
    </w:rPr>
  </w:style>
  <w:style w:type="character" w:styleId="FootnoteReference">
    <w:name w:val="footnote reference"/>
    <w:basedOn w:val="DefaultParagraphFont"/>
    <w:uiPriority w:val="99"/>
    <w:semiHidden/>
    <w:unhideWhenUsed/>
    <w:rsid w:val="005E572A"/>
    <w:rPr>
      <w:rFonts w:ascii="Times New Roman" w:hAnsi="Times New Roman"/>
      <w:vertAlign w:val="superscript"/>
    </w:rPr>
  </w:style>
  <w:style w:type="paragraph" w:styleId="Footer">
    <w:name w:val="footer"/>
    <w:basedOn w:val="Normal"/>
    <w:link w:val="FooterChar"/>
    <w:uiPriority w:val="99"/>
    <w:unhideWhenUsed/>
    <w:rsid w:val="005E572A"/>
    <w:pPr>
      <w:tabs>
        <w:tab w:val="center" w:pos="4680"/>
        <w:tab w:val="right" w:pos="9360"/>
      </w:tabs>
    </w:pPr>
  </w:style>
  <w:style w:type="character" w:customStyle="1" w:styleId="FooterChar">
    <w:name w:val="Footer Char"/>
    <w:basedOn w:val="DefaultParagraphFont"/>
    <w:link w:val="Footer"/>
    <w:uiPriority w:val="99"/>
    <w:rsid w:val="005E572A"/>
    <w:rPr>
      <w:rFonts w:asciiTheme="minorHAnsi" w:hAnsiTheme="minorHAnsi" w:cstheme="minorBidi"/>
      <w:b w:val="0"/>
      <w:sz w:val="22"/>
      <w:szCs w:val="22"/>
    </w:rPr>
  </w:style>
  <w:style w:type="paragraph" w:styleId="Header">
    <w:name w:val="header"/>
    <w:basedOn w:val="Normal"/>
    <w:link w:val="HeaderChar"/>
    <w:uiPriority w:val="99"/>
    <w:unhideWhenUsed/>
    <w:rsid w:val="000E74F9"/>
    <w:pPr>
      <w:tabs>
        <w:tab w:val="center" w:pos="4680"/>
        <w:tab w:val="right" w:pos="9360"/>
      </w:tabs>
    </w:pPr>
  </w:style>
  <w:style w:type="character" w:customStyle="1" w:styleId="HeaderChar">
    <w:name w:val="Header Char"/>
    <w:basedOn w:val="DefaultParagraphFont"/>
    <w:link w:val="Header"/>
    <w:uiPriority w:val="99"/>
    <w:rsid w:val="000E74F9"/>
    <w:rPr>
      <w:rFonts w:ascii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19815">
      <w:bodyDiv w:val="1"/>
      <w:marLeft w:val="0"/>
      <w:marRight w:val="0"/>
      <w:marTop w:val="0"/>
      <w:marBottom w:val="0"/>
      <w:divBdr>
        <w:top w:val="none" w:sz="0" w:space="0" w:color="auto"/>
        <w:left w:val="none" w:sz="0" w:space="0" w:color="auto"/>
        <w:bottom w:val="none" w:sz="0" w:space="0" w:color="auto"/>
        <w:right w:val="none" w:sz="0" w:space="0" w:color="auto"/>
      </w:divBdr>
    </w:div>
    <w:div w:id="20849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Clerk3</dc:creator>
  <cp:lastModifiedBy>Linda Woodards-French</cp:lastModifiedBy>
  <cp:revision>2</cp:revision>
  <dcterms:created xsi:type="dcterms:W3CDTF">2018-04-09T14:36:00Z</dcterms:created>
  <dcterms:modified xsi:type="dcterms:W3CDTF">2018-04-09T14:36:00Z</dcterms:modified>
</cp:coreProperties>
</file>