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16" w:rsidRDefault="00484816" w:rsidP="00484816">
      <w:pPr>
        <w:pStyle w:val="Normal1"/>
        <w:widowControl w:val="0"/>
        <w:spacing w:after="0" w:line="240" w:lineRule="auto"/>
        <w:jc w:val="both"/>
      </w:pPr>
      <w:r>
        <w:rPr>
          <w:rFonts w:ascii="Times New Roman" w:eastAsia="Times New Roman" w:hAnsi="Times New Roman" w:cs="Times New Roman"/>
          <w:b/>
          <w:sz w:val="24"/>
          <w:szCs w:val="24"/>
        </w:rPr>
        <w:t>To:</w:t>
      </w:r>
      <w:r>
        <w:rPr>
          <w:rFonts w:ascii="Times New Roman" w:eastAsia="Times New Roman" w:hAnsi="Times New Roman" w:cs="Times New Roman"/>
          <w:b/>
          <w:sz w:val="24"/>
          <w:szCs w:val="24"/>
        </w:rPr>
        <w:tab/>
        <w:t>New Jersey Law Revision Commission</w:t>
      </w:r>
    </w:p>
    <w:p w:rsidR="00484816" w:rsidRDefault="00484816" w:rsidP="00484816">
      <w:pPr>
        <w:pStyle w:val="Normal1"/>
        <w:widowControl w:val="0"/>
        <w:spacing w:after="0" w:line="240" w:lineRule="auto"/>
        <w:jc w:val="both"/>
      </w:pPr>
      <w:r>
        <w:rPr>
          <w:rFonts w:ascii="Times New Roman" w:eastAsia="Times New Roman" w:hAnsi="Times New Roman" w:cs="Times New Roman"/>
          <w:b/>
          <w:sz w:val="24"/>
          <w:szCs w:val="24"/>
        </w:rPr>
        <w:t>From:</w:t>
      </w:r>
      <w:r>
        <w:rPr>
          <w:rFonts w:ascii="Times New Roman" w:eastAsia="Times New Roman" w:hAnsi="Times New Roman" w:cs="Times New Roman"/>
          <w:b/>
          <w:sz w:val="24"/>
          <w:szCs w:val="24"/>
        </w:rPr>
        <w:tab/>
        <w:t>Jayne Johnson</w:t>
      </w:r>
    </w:p>
    <w:p w:rsidR="00484816" w:rsidRDefault="00484816" w:rsidP="00484816">
      <w:pPr>
        <w:pStyle w:val="Normal1"/>
        <w:widowControl w:val="0"/>
        <w:spacing w:after="0" w:line="240" w:lineRule="auto"/>
        <w:jc w:val="both"/>
      </w:pPr>
      <w:r>
        <w:rPr>
          <w:rFonts w:ascii="Times New Roman" w:eastAsia="Times New Roman" w:hAnsi="Times New Roman" w:cs="Times New Roman"/>
          <w:b/>
          <w:sz w:val="24"/>
          <w:szCs w:val="24"/>
        </w:rPr>
        <w:t>Re:</w:t>
      </w:r>
      <w:r>
        <w:rPr>
          <w:rFonts w:ascii="Times New Roman" w:eastAsia="Times New Roman" w:hAnsi="Times New Roman" w:cs="Times New Roman"/>
          <w:b/>
          <w:sz w:val="24"/>
          <w:szCs w:val="24"/>
        </w:rPr>
        <w:tab/>
        <w:t xml:space="preserve">Sidewalk Tort Liability </w:t>
      </w:r>
    </w:p>
    <w:p w:rsidR="00484816" w:rsidRDefault="00484816" w:rsidP="00484816">
      <w:pPr>
        <w:pStyle w:val="Normal1"/>
        <w:widowControl w:val="0"/>
        <w:spacing w:after="0" w:line="240" w:lineRule="auto"/>
        <w:jc w:val="both"/>
      </w:pPr>
      <w:r>
        <w:rPr>
          <w:rFonts w:ascii="Times New Roman" w:eastAsia="Times New Roman" w:hAnsi="Times New Roman" w:cs="Times New Roman"/>
          <w:b/>
          <w:sz w:val="24"/>
          <w:szCs w:val="24"/>
        </w:rPr>
        <w:t>Date:  June 6, 2016</w:t>
      </w:r>
    </w:p>
    <w:p w:rsidR="00484816" w:rsidRDefault="00484816" w:rsidP="00484816">
      <w:pPr>
        <w:pStyle w:val="Normal1"/>
        <w:widowControl w:val="0"/>
        <w:spacing w:after="0" w:line="240" w:lineRule="auto"/>
        <w:jc w:val="both"/>
      </w:pPr>
    </w:p>
    <w:p w:rsidR="00484816" w:rsidRDefault="00484816" w:rsidP="00484816">
      <w:pPr>
        <w:pStyle w:val="Normal1"/>
        <w:widowControl w:val="0"/>
        <w:spacing w:after="120"/>
        <w:jc w:val="center"/>
      </w:pPr>
      <w:r>
        <w:rPr>
          <w:rFonts w:ascii="Times New Roman" w:eastAsia="Times New Roman" w:hAnsi="Times New Roman" w:cs="Times New Roman"/>
          <w:b/>
          <w:sz w:val="24"/>
          <w:szCs w:val="24"/>
        </w:rPr>
        <w:t>MEMORANDUM</w:t>
      </w:r>
    </w:p>
    <w:p w:rsidR="00484816" w:rsidRDefault="00484816" w:rsidP="00484816">
      <w:pPr>
        <w:pStyle w:val="Normal1"/>
        <w:widowControl w:val="0"/>
        <w:spacing w:after="120"/>
        <w:jc w:val="center"/>
      </w:pPr>
    </w:p>
    <w:p w:rsidR="00484816" w:rsidRPr="007945F5" w:rsidRDefault="00484816" w:rsidP="00484816">
      <w:pPr>
        <w:pStyle w:val="Normal1"/>
        <w:widowControl w:val="0"/>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Summary</w:t>
      </w:r>
    </w:p>
    <w:p w:rsidR="00484816" w:rsidRDefault="00484816" w:rsidP="00484816">
      <w:pPr>
        <w:pStyle w:val="Normal1"/>
        <w:widowControl w:val="0"/>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memorandum discusses sidewalk tort liability in New Jersey, where judicial precedent overturned the common law rule and established a distinction between commercial and residential property owners to maintain abutting sidewalks. Cases involving properties with a hybrid form of ownership emerged over the three decades following the Supreme Court decision, which imposed liability for commercial property owners who fail to maintain abutting sidewalks. The Appellate Division called on the Supreme Court or the Legislature to clarify this “gray area” concerning the classification of properties with mixed use or a hybrid form of ownership. Staff seeks approval from the Commission to further identify through outreach whether statutory revisions will best address the concerns raised in this area of the law. </w:t>
      </w:r>
    </w:p>
    <w:p w:rsidR="00484816" w:rsidRDefault="00484816" w:rsidP="00484816">
      <w:pPr>
        <w:pStyle w:val="Normal1"/>
        <w:widowControl w:val="0"/>
        <w:spacing w:after="120"/>
        <w:ind w:firstLine="720"/>
        <w:jc w:val="both"/>
      </w:pPr>
    </w:p>
    <w:p w:rsidR="00484816" w:rsidRPr="007945F5" w:rsidRDefault="00484816" w:rsidP="00484816">
      <w:pPr>
        <w:pStyle w:val="Normal1"/>
        <w:widowControl w:val="0"/>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484816" w:rsidRDefault="00484816" w:rsidP="00484816">
      <w:pPr>
        <w:pStyle w:val="Normal1"/>
        <w:widowControl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Historically, </w:t>
      </w:r>
      <w:r w:rsidR="00AC2576">
        <w:rPr>
          <w:rFonts w:ascii="Times New Roman" w:eastAsia="Times New Roman" w:hAnsi="Times New Roman" w:cs="Times New Roman"/>
          <w:sz w:val="24"/>
          <w:szCs w:val="24"/>
        </w:rPr>
        <w:t xml:space="preserve">commercial </w:t>
      </w:r>
      <w:bookmarkStart w:id="0" w:name="_GoBack"/>
      <w:bookmarkEnd w:id="0"/>
      <w:r>
        <w:rPr>
          <w:rFonts w:ascii="Times New Roman" w:eastAsia="Times New Roman" w:hAnsi="Times New Roman" w:cs="Times New Roman"/>
          <w:sz w:val="24"/>
          <w:szCs w:val="24"/>
        </w:rPr>
        <w:t>property owners had no duty to maintain abutting sidewalks.</w:t>
      </w:r>
      <w:r>
        <w:rPr>
          <w:rStyle w:val="FootnoteReference"/>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Liability was not imposed for failure to clear the snow and ice from public sidewalks abutting from private or commercial property.”</w:t>
      </w:r>
      <w:r>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At common law, even when a property owner removed snow or ice from a public sidewalk, the owner was not liable to a person who was injured on the sidewalk “unless through negligence a new element of danger or hazard, other than one caused by natural forces, added to the safe use of the sidewalk by a pedestrian.”</w:t>
      </w:r>
      <w:r>
        <w:rPr>
          <w:rStyle w:val="FootnoteReference"/>
          <w:rFonts w:ascii="Times New Roman" w:eastAsia="Times New Roman" w:hAnsi="Times New Roman" w:cs="Times New Roman"/>
          <w:sz w:val="24"/>
          <w:szCs w:val="24"/>
        </w:rPr>
        <w:footnoteReference w:id="3"/>
      </w:r>
      <w:r w:rsidRPr="00D1581A">
        <w:rPr>
          <w:rFonts w:ascii="Times New Roman" w:eastAsia="Times New Roman" w:hAnsi="Times New Roman" w:cs="Times New Roman"/>
          <w:i/>
          <w:sz w:val="24"/>
          <w:szCs w:val="24"/>
        </w:rPr>
        <w:t xml:space="preserve"> </w:t>
      </w:r>
    </w:p>
    <w:p w:rsidR="00484816" w:rsidRPr="00484816" w:rsidRDefault="00484816" w:rsidP="00484816">
      <w:pPr>
        <w:pStyle w:val="Normal1"/>
        <w:widowControl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Supreme Court, in </w:t>
      </w:r>
      <w:r w:rsidRPr="00E830AF">
        <w:rPr>
          <w:rFonts w:ascii="Times New Roman" w:eastAsia="Times New Roman" w:hAnsi="Times New Roman" w:cs="Times New Roman"/>
          <w:i/>
          <w:sz w:val="24"/>
          <w:szCs w:val="24"/>
        </w:rPr>
        <w:t>Stewart v. 104 Wallace Street</w:t>
      </w:r>
      <w:r>
        <w:rPr>
          <w:rFonts w:ascii="Times New Roman" w:eastAsia="Times New Roman" w:hAnsi="Times New Roman" w:cs="Times New Roman"/>
          <w:sz w:val="24"/>
          <w:szCs w:val="24"/>
        </w:rPr>
        <w:t>, considered the liability of a tavern owner for the injuries sustained by a pedestrian who fell on a “dilapidated sidewalk” abutting from the establishment.</w:t>
      </w:r>
      <w:r>
        <w:rPr>
          <w:rStyle w:val="FootnoteReference"/>
          <w:rFonts w:ascii="Times New Roman" w:eastAsia="Times New Roman" w:hAnsi="Times New Roman" w:cs="Times New Roman"/>
          <w:sz w:val="24"/>
          <w:szCs w:val="24"/>
        </w:rPr>
        <w:footnoteReference w:id="4"/>
      </w:r>
      <w:r>
        <w:rPr>
          <w:rFonts w:ascii="Times New Roman" w:eastAsia="Times New Roman" w:hAnsi="Times New Roman" w:cs="Times New Roman"/>
          <w:sz w:val="24"/>
          <w:szCs w:val="24"/>
        </w:rPr>
        <w:t xml:space="preserve"> The Court observed that “sidewalks provide commercial owners with easy access to their premises and increase the value of their property,” and unlike residential homeowners, commercial property owners may spread the costs of liability as “one of the necessary costs of doing business.”</w:t>
      </w:r>
      <w:r>
        <w:rPr>
          <w:rStyle w:val="FootnoteReference"/>
          <w:rFonts w:ascii="Times New Roman" w:eastAsia="Times New Roman" w:hAnsi="Times New Roman" w:cs="Times New Roman"/>
          <w:sz w:val="24"/>
          <w:szCs w:val="24"/>
        </w:rPr>
        <w:footnoteReference w:id="5"/>
      </w:r>
      <w:r>
        <w:rPr>
          <w:rFonts w:ascii="Times New Roman" w:eastAsia="Times New Roman" w:hAnsi="Times New Roman" w:cs="Times New Roman"/>
          <w:sz w:val="24"/>
          <w:szCs w:val="24"/>
        </w:rPr>
        <w:t xml:space="preserve"> In accord, the Court overturned the common law rule, and held that commercial property owners are liable for injuries on the sidewalks abutting their property when the injury results from the owner’s negligent failure to maintain the sidewalks.</w:t>
      </w:r>
      <w:r>
        <w:rPr>
          <w:rStyle w:val="FootnoteReference"/>
          <w:rFonts w:ascii="Times New Roman" w:eastAsia="Times New Roman" w:hAnsi="Times New Roman" w:cs="Times New Roman"/>
          <w:sz w:val="24"/>
          <w:szCs w:val="24"/>
        </w:rPr>
        <w:footnoteReference w:id="6"/>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ab/>
        <w:t xml:space="preserve">The Court established this new standard, which is often called the </w:t>
      </w:r>
      <w:r>
        <w:rPr>
          <w:rFonts w:ascii="Times New Roman" w:eastAsia="Times New Roman" w:hAnsi="Times New Roman" w:cs="Times New Roman"/>
          <w:i/>
          <w:sz w:val="24"/>
          <w:szCs w:val="24"/>
        </w:rPr>
        <w:t>Stewart</w:t>
      </w:r>
      <w:r>
        <w:rPr>
          <w:rFonts w:ascii="Times New Roman" w:eastAsia="Times New Roman" w:hAnsi="Times New Roman" w:cs="Times New Roman"/>
          <w:sz w:val="24"/>
          <w:szCs w:val="24"/>
        </w:rPr>
        <w:t xml:space="preserve"> rule, to ensure the public’s “right to safe and unimpeded passage” on abutting sidewalks.</w:t>
      </w:r>
      <w:r>
        <w:rPr>
          <w:rStyle w:val="FootnoteReference"/>
          <w:rFonts w:ascii="Times New Roman" w:eastAsia="Times New Roman" w:hAnsi="Times New Roman" w:cs="Times New Roman"/>
          <w:sz w:val="24"/>
          <w:szCs w:val="24"/>
        </w:rPr>
        <w:footnoteReference w:id="7"/>
      </w:r>
      <w:r>
        <w:rPr>
          <w:rFonts w:ascii="Times New Roman" w:eastAsia="Times New Roman" w:hAnsi="Times New Roman" w:cs="Times New Roman"/>
          <w:sz w:val="24"/>
          <w:szCs w:val="24"/>
        </w:rPr>
        <w:t xml:space="preserve"> In subsequent decisions, the Court held that the </w:t>
      </w:r>
      <w:r>
        <w:rPr>
          <w:rFonts w:ascii="Times New Roman" w:eastAsia="Times New Roman" w:hAnsi="Times New Roman" w:cs="Times New Roman"/>
          <w:i/>
          <w:sz w:val="24"/>
          <w:szCs w:val="24"/>
        </w:rPr>
        <w:t>Stewart</w:t>
      </w:r>
      <w:r w:rsidRPr="002645FC">
        <w:rPr>
          <w:rFonts w:ascii="Times New Roman" w:eastAsia="Times New Roman" w:hAnsi="Times New Roman" w:cs="Times New Roman"/>
          <w:sz w:val="24"/>
          <w:szCs w:val="24"/>
        </w:rPr>
        <w:t xml:space="preserve"> rule</w:t>
      </w:r>
      <w:r>
        <w:rPr>
          <w:rFonts w:ascii="Times New Roman" w:eastAsia="Times New Roman" w:hAnsi="Times New Roman" w:cs="Times New Roman"/>
          <w:sz w:val="24"/>
          <w:szCs w:val="24"/>
        </w:rPr>
        <w:t xml:space="preserve"> carries with it a duty to remove ice and snow if failure to do so would be considered negligent under the circumstances.</w:t>
      </w:r>
      <w:r>
        <w:rPr>
          <w:rStyle w:val="FootnoteReference"/>
          <w:rFonts w:ascii="Times New Roman" w:eastAsia="Times New Roman" w:hAnsi="Times New Roman" w:cs="Times New Roman"/>
          <w:sz w:val="24"/>
          <w:szCs w:val="24"/>
        </w:rPr>
        <w:footnoteReference w:id="8"/>
      </w:r>
      <w:r>
        <w:rPr>
          <w:rFonts w:ascii="Times New Roman" w:eastAsia="Times New Roman" w:hAnsi="Times New Roman" w:cs="Times New Roman"/>
          <w:sz w:val="24"/>
          <w:szCs w:val="24"/>
        </w:rPr>
        <w:t xml:space="preserve"> The Supreme Court, in </w:t>
      </w:r>
      <w:proofErr w:type="spellStart"/>
      <w:r w:rsidRPr="00484816">
        <w:rPr>
          <w:rFonts w:ascii="Times New Roman" w:eastAsia="Times New Roman" w:hAnsi="Times New Roman" w:cs="Times New Roman"/>
          <w:i/>
          <w:sz w:val="24"/>
          <w:szCs w:val="24"/>
        </w:rPr>
        <w:t>Luchejko</w:t>
      </w:r>
      <w:proofErr w:type="spellEnd"/>
      <w:r w:rsidRPr="00484816">
        <w:rPr>
          <w:rFonts w:ascii="Times New Roman" w:eastAsia="Times New Roman" w:hAnsi="Times New Roman" w:cs="Times New Roman"/>
          <w:sz w:val="24"/>
          <w:szCs w:val="24"/>
        </w:rPr>
        <w:t>, stated that:</w:t>
      </w:r>
    </w:p>
    <w:p w:rsidR="00484816" w:rsidRPr="00484816" w:rsidRDefault="00484816" w:rsidP="00484816">
      <w:pPr>
        <w:pStyle w:val="Normal1"/>
        <w:widowControl w:val="0"/>
        <w:tabs>
          <w:tab w:val="left" w:pos="-90"/>
          <w:tab w:val="left" w:pos="8550"/>
        </w:tabs>
        <w:spacing w:after="120"/>
        <w:ind w:left="720" w:right="630"/>
        <w:jc w:val="both"/>
        <w:rPr>
          <w:rFonts w:ascii="Times New Roman" w:eastAsia="Times New Roman" w:hAnsi="Times New Roman" w:cs="Times New Roman"/>
          <w:sz w:val="24"/>
          <w:szCs w:val="24"/>
        </w:rPr>
      </w:pPr>
      <w:r w:rsidRPr="00484816">
        <w:rPr>
          <w:rFonts w:ascii="Times New Roman" w:eastAsia="Times New Roman" w:hAnsi="Times New Roman" w:cs="Times New Roman"/>
          <w:sz w:val="24"/>
          <w:szCs w:val="24"/>
        </w:rPr>
        <w:t xml:space="preserve">[t]he commercial/resident dichotomy represents a fundamental choice to not to impose sidewalk liability on homeowners that was established nearly three decades ago. Stare </w:t>
      </w:r>
      <w:proofErr w:type="spellStart"/>
      <w:r w:rsidRPr="00484816">
        <w:rPr>
          <w:rFonts w:ascii="Times New Roman" w:eastAsia="Times New Roman" w:hAnsi="Times New Roman" w:cs="Times New Roman"/>
          <w:sz w:val="24"/>
          <w:szCs w:val="24"/>
        </w:rPr>
        <w:t>decisis</w:t>
      </w:r>
      <w:proofErr w:type="spellEnd"/>
      <w:r w:rsidRPr="00484816">
        <w:rPr>
          <w:rFonts w:ascii="Times New Roman" w:eastAsia="Times New Roman" w:hAnsi="Times New Roman" w:cs="Times New Roman"/>
          <w:sz w:val="24"/>
          <w:szCs w:val="24"/>
        </w:rPr>
        <w:t xml:space="preserve"> thus casts a long shadow over these proceedings. We should not lightly break with a line of decisions that has promoted settled expectations on the part of residential property owners.</w:t>
      </w:r>
      <w:r w:rsidRPr="00484816">
        <w:rPr>
          <w:rStyle w:val="FootnoteReference"/>
          <w:rFonts w:ascii="Times New Roman" w:eastAsia="Times New Roman" w:hAnsi="Times New Roman" w:cs="Times New Roman"/>
          <w:sz w:val="24"/>
          <w:szCs w:val="24"/>
        </w:rPr>
        <w:footnoteReference w:id="9"/>
      </w:r>
    </w:p>
    <w:p w:rsidR="00484816" w:rsidRDefault="00484816" w:rsidP="00484816">
      <w:pPr>
        <w:spacing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Supreme Court acknowledged that in the decades since </w:t>
      </w:r>
      <w:r w:rsidRPr="008F3F63">
        <w:rPr>
          <w:rFonts w:ascii="Times New Roman" w:eastAsia="Times New Roman" w:hAnsi="Times New Roman" w:cs="Times New Roman"/>
          <w:i/>
          <w:sz w:val="24"/>
          <w:szCs w:val="24"/>
        </w:rPr>
        <w:t>Stewart</w:t>
      </w:r>
      <w:r>
        <w:rPr>
          <w:rFonts w:ascii="Times New Roman" w:eastAsia="Times New Roman" w:hAnsi="Times New Roman" w:cs="Times New Roman"/>
          <w:sz w:val="24"/>
          <w:szCs w:val="24"/>
        </w:rPr>
        <w:t>, certain cases required the Court to “grapple with” determining whether a property should be classified as residential or commercial.</w:t>
      </w:r>
      <w:r>
        <w:rPr>
          <w:rStyle w:val="FootnoteReference"/>
          <w:rFonts w:ascii="Times New Roman" w:eastAsia="Times New Roman" w:hAnsi="Times New Roman" w:cs="Times New Roman"/>
          <w:sz w:val="24"/>
          <w:szCs w:val="24"/>
        </w:rPr>
        <w:footnoteReference w:id="10"/>
      </w:r>
      <w:r>
        <w:rPr>
          <w:rFonts w:ascii="Times New Roman" w:eastAsia="Times New Roman" w:hAnsi="Times New Roman" w:cs="Times New Roman"/>
          <w:sz w:val="24"/>
          <w:szCs w:val="24"/>
        </w:rPr>
        <w:t xml:space="preserve"> The Court examines the following when considering “the use of the abutting land, not the nature” of the entity owning the property:</w:t>
      </w:r>
    </w:p>
    <w:p w:rsidR="00484816" w:rsidRPr="00C27115" w:rsidRDefault="00484816" w:rsidP="00484816">
      <w:pPr>
        <w:pStyle w:val="ListParagraph"/>
        <w:numPr>
          <w:ilvl w:val="0"/>
          <w:numId w:val="1"/>
        </w:numPr>
        <w:spacing w:after="120"/>
        <w:ind w:right="720" w:firstLine="0"/>
        <w:jc w:val="both"/>
        <w:rPr>
          <w:rFonts w:ascii="Times New Roman" w:eastAsia="Times New Roman" w:hAnsi="Times New Roman" w:cs="Times New Roman"/>
          <w:sz w:val="24"/>
          <w:szCs w:val="24"/>
        </w:rPr>
      </w:pPr>
      <w:r w:rsidRPr="00C27115">
        <w:rPr>
          <w:rFonts w:ascii="Times New Roman" w:eastAsia="Times New Roman" w:hAnsi="Times New Roman" w:cs="Times New Roman"/>
          <w:sz w:val="24"/>
          <w:szCs w:val="24"/>
        </w:rPr>
        <w:t>the nature of the ownership of the property, including whether it is owned for business or investment purposes;</w:t>
      </w:r>
    </w:p>
    <w:p w:rsidR="00484816" w:rsidRDefault="00484816" w:rsidP="00484816">
      <w:pPr>
        <w:pStyle w:val="ListParagraph"/>
        <w:numPr>
          <w:ilvl w:val="0"/>
          <w:numId w:val="1"/>
        </w:numPr>
        <w:spacing w:after="120"/>
        <w:ind w:right="7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predominant use of the property, including the amount of space occupied by the owner to determine whether it </w:t>
      </w:r>
      <w:r w:rsidR="006C1F05">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 xml:space="preserve">used </w:t>
      </w:r>
      <w:r w:rsidR="006C1F05">
        <w:rPr>
          <w:rFonts w:ascii="Times New Roman" w:eastAsia="Times New Roman" w:hAnsi="Times New Roman" w:cs="Times New Roman"/>
          <w:sz w:val="24"/>
          <w:szCs w:val="24"/>
        </w:rPr>
        <w:t>in whole or in substantial part</w:t>
      </w:r>
      <w:r>
        <w:rPr>
          <w:rFonts w:ascii="Times New Roman" w:eastAsia="Times New Roman" w:hAnsi="Times New Roman" w:cs="Times New Roman"/>
          <w:sz w:val="24"/>
          <w:szCs w:val="24"/>
        </w:rPr>
        <w:t xml:space="preserve"> as a place of residence;</w:t>
      </w:r>
    </w:p>
    <w:p w:rsidR="00484816" w:rsidRDefault="00484816" w:rsidP="00484816">
      <w:pPr>
        <w:pStyle w:val="ListParagraph"/>
        <w:numPr>
          <w:ilvl w:val="0"/>
          <w:numId w:val="1"/>
        </w:numPr>
        <w:spacing w:after="120"/>
        <w:ind w:right="72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whether the property has the capacity to generate income, including whether the owner is realizing a profit; and</w:t>
      </w:r>
    </w:p>
    <w:p w:rsidR="00484816" w:rsidRPr="00A071A5" w:rsidRDefault="00484816" w:rsidP="00484816">
      <w:pPr>
        <w:pStyle w:val="ListParagraph"/>
        <w:numPr>
          <w:ilvl w:val="0"/>
          <w:numId w:val="1"/>
        </w:numPr>
        <w:spacing w:after="120"/>
        <w:ind w:right="720" w:firstLine="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any</w:t>
      </w:r>
      <w:proofErr w:type="gramEnd"/>
      <w:r>
        <w:rPr>
          <w:rFonts w:ascii="Times New Roman" w:eastAsia="Times New Roman" w:hAnsi="Times New Roman" w:cs="Times New Roman"/>
          <w:sz w:val="24"/>
          <w:szCs w:val="24"/>
        </w:rPr>
        <w:t xml:space="preserve"> other relevant factor when applying commonly accepted definitions of ‘commercial’ and ‘residential’ property.</w:t>
      </w:r>
      <w:r w:rsidR="006C1F05" w:rsidRPr="006C1F05">
        <w:rPr>
          <w:rStyle w:val="FootnoteReference"/>
          <w:rFonts w:ascii="Times New Roman" w:eastAsia="Times New Roman" w:hAnsi="Times New Roman" w:cs="Times New Roman"/>
          <w:sz w:val="24"/>
          <w:szCs w:val="24"/>
        </w:rPr>
        <w:t xml:space="preserve"> </w:t>
      </w:r>
      <w:r w:rsidR="006C1F05">
        <w:rPr>
          <w:rStyle w:val="FootnoteReference"/>
          <w:rFonts w:ascii="Times New Roman" w:eastAsia="Times New Roman" w:hAnsi="Times New Roman" w:cs="Times New Roman"/>
          <w:sz w:val="24"/>
          <w:szCs w:val="24"/>
        </w:rPr>
        <w:footnoteReference w:id="11"/>
      </w:r>
      <w:r w:rsidRPr="00A071A5">
        <w:rPr>
          <w:rFonts w:ascii="Times New Roman" w:eastAsia="Times New Roman" w:hAnsi="Times New Roman" w:cs="Times New Roman"/>
          <w:sz w:val="24"/>
          <w:szCs w:val="24"/>
        </w:rPr>
        <w:t xml:space="preserve"> </w:t>
      </w:r>
    </w:p>
    <w:p w:rsidR="00484816" w:rsidRDefault="00484816" w:rsidP="00484816">
      <w:pPr>
        <w:pStyle w:val="Normal1"/>
        <w:widowControl w:val="0"/>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the ability of the entity to spread costs is also considered.</w:t>
      </w:r>
      <w:r>
        <w:rPr>
          <w:rStyle w:val="FootnoteReference"/>
          <w:rFonts w:ascii="Times New Roman" w:eastAsia="Times New Roman" w:hAnsi="Times New Roman" w:cs="Times New Roman"/>
          <w:sz w:val="24"/>
          <w:szCs w:val="24"/>
        </w:rPr>
        <w:footnoteReference w:id="12"/>
      </w:r>
      <w:r>
        <w:rPr>
          <w:rFonts w:ascii="Times New Roman" w:eastAsia="Times New Roman" w:hAnsi="Times New Roman" w:cs="Times New Roman"/>
          <w:sz w:val="24"/>
          <w:szCs w:val="24"/>
        </w:rPr>
        <w:t xml:space="preserve"> “Cost spreading is not limited merely to businesses passing costs by charging higher prices; rather it is focused on the landowner’s ability to bear the risk of loss better than the injured pedestrian.”</w:t>
      </w:r>
      <w:r>
        <w:rPr>
          <w:rStyle w:val="FootnoteReference"/>
          <w:rFonts w:ascii="Times New Roman" w:eastAsia="Times New Roman" w:hAnsi="Times New Roman" w:cs="Times New Roman"/>
          <w:sz w:val="24"/>
          <w:szCs w:val="24"/>
        </w:rPr>
        <w:footnoteReference w:id="13"/>
      </w:r>
      <w:r>
        <w:rPr>
          <w:rFonts w:ascii="Times New Roman" w:eastAsia="Times New Roman" w:hAnsi="Times New Roman" w:cs="Times New Roman"/>
          <w:sz w:val="24"/>
          <w:szCs w:val="24"/>
        </w:rPr>
        <w:tab/>
      </w:r>
    </w:p>
    <w:p w:rsidR="00484816" w:rsidRPr="008F09FB" w:rsidRDefault="00484816" w:rsidP="00484816">
      <w:pPr>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The Court, in </w:t>
      </w:r>
      <w:proofErr w:type="spellStart"/>
      <w:r w:rsidRPr="00755AB7">
        <w:rPr>
          <w:rFonts w:ascii="Times New Roman" w:eastAsia="Times New Roman" w:hAnsi="Times New Roman" w:cs="Times New Roman"/>
          <w:i/>
          <w:sz w:val="24"/>
          <w:szCs w:val="24"/>
        </w:rPr>
        <w:t>Luchejko</w:t>
      </w:r>
      <w:proofErr w:type="spellEnd"/>
      <w:r w:rsidRPr="00755AB7">
        <w:rPr>
          <w:rFonts w:ascii="Times New Roman" w:eastAsia="Times New Roman" w:hAnsi="Times New Roman" w:cs="Times New Roman"/>
          <w:i/>
          <w:sz w:val="24"/>
          <w:szCs w:val="24"/>
        </w:rPr>
        <w:t xml:space="preserve"> v. </w:t>
      </w:r>
      <w:proofErr w:type="spellStart"/>
      <w:r w:rsidRPr="00755AB7">
        <w:rPr>
          <w:rFonts w:ascii="Times New Roman" w:eastAsia="Times New Roman" w:hAnsi="Times New Roman" w:cs="Times New Roman"/>
          <w:i/>
          <w:sz w:val="24"/>
          <w:szCs w:val="24"/>
        </w:rPr>
        <w:t>Cty</w:t>
      </w:r>
      <w:proofErr w:type="spellEnd"/>
      <w:r>
        <w:rPr>
          <w:rFonts w:ascii="Times New Roman" w:eastAsia="Times New Roman" w:hAnsi="Times New Roman" w:cs="Times New Roman"/>
          <w:sz w:val="24"/>
          <w:szCs w:val="24"/>
        </w:rPr>
        <w:t>.</w:t>
      </w:r>
      <w:proofErr w:type="gramEnd"/>
      <w:r w:rsidRPr="00755AB7">
        <w:rPr>
          <w:rFonts w:ascii="Times New Roman" w:eastAsia="Times New Roman" w:hAnsi="Times New Roman" w:cs="Times New Roman"/>
          <w:i/>
          <w:sz w:val="24"/>
          <w:szCs w:val="24"/>
        </w:rPr>
        <w:t xml:space="preserve"> </w:t>
      </w:r>
      <w:proofErr w:type="gramStart"/>
      <w:r w:rsidRPr="00755AB7">
        <w:rPr>
          <w:rFonts w:ascii="Times New Roman" w:eastAsia="Times New Roman" w:hAnsi="Times New Roman" w:cs="Times New Roman"/>
          <w:i/>
          <w:sz w:val="24"/>
          <w:szCs w:val="24"/>
        </w:rPr>
        <w:t>of</w:t>
      </w:r>
      <w:proofErr w:type="gramEnd"/>
      <w:r w:rsidRPr="00755AB7">
        <w:rPr>
          <w:rFonts w:ascii="Times New Roman" w:eastAsia="Times New Roman" w:hAnsi="Times New Roman" w:cs="Times New Roman"/>
          <w:i/>
          <w:sz w:val="24"/>
          <w:szCs w:val="24"/>
        </w:rPr>
        <w:t xml:space="preserve"> Hoboken</w:t>
      </w:r>
      <w:r>
        <w:rPr>
          <w:rFonts w:ascii="Times New Roman" w:eastAsia="Times New Roman" w:hAnsi="Times New Roman" w:cs="Times New Roman"/>
          <w:sz w:val="24"/>
          <w:szCs w:val="24"/>
        </w:rPr>
        <w:t>, considered whether a common-interest community was “residential” or “commercial.”</w:t>
      </w:r>
      <w:r>
        <w:rPr>
          <w:rStyle w:val="FootnoteReference"/>
          <w:rFonts w:ascii="Times New Roman" w:eastAsia="Times New Roman" w:hAnsi="Times New Roman" w:cs="Times New Roman"/>
          <w:sz w:val="24"/>
          <w:szCs w:val="24"/>
        </w:rPr>
        <w:footnoteReference w:id="14"/>
      </w:r>
      <w:r>
        <w:rPr>
          <w:rFonts w:ascii="Times New Roman" w:eastAsia="Times New Roman" w:hAnsi="Times New Roman" w:cs="Times New Roman"/>
          <w:sz w:val="24"/>
          <w:szCs w:val="24"/>
        </w:rPr>
        <w:t xml:space="preserve"> The Court determined that the condominium </w:t>
      </w:r>
      <w:r w:rsidRPr="00490283">
        <w:rPr>
          <w:rFonts w:ascii="Times New Roman" w:eastAsia="Times New Roman" w:hAnsi="Times New Roman" w:cs="Times New Roman"/>
          <w:sz w:val="24"/>
          <w:szCs w:val="24"/>
        </w:rPr>
        <w:lastRenderedPageBreak/>
        <w:t>complex was residential and the owner was not liable for the slip and fall</w:t>
      </w:r>
      <w:r>
        <w:rPr>
          <w:rFonts w:ascii="Times New Roman" w:eastAsia="Times New Roman" w:hAnsi="Times New Roman" w:cs="Times New Roman"/>
          <w:sz w:val="24"/>
          <w:szCs w:val="24"/>
        </w:rPr>
        <w:t xml:space="preserve"> of a pedestrian</w:t>
      </w:r>
      <w:r w:rsidRPr="00490283">
        <w:rPr>
          <w:rFonts w:ascii="Times New Roman" w:eastAsia="Times New Roman" w:hAnsi="Times New Roman" w:cs="Times New Roman"/>
          <w:sz w:val="24"/>
          <w:szCs w:val="24"/>
        </w:rPr>
        <w:t>, departing from the bright-line application of the commercial-residential distinction.</w:t>
      </w:r>
      <w:r w:rsidRPr="00490283">
        <w:rPr>
          <w:rStyle w:val="FootnoteReference"/>
          <w:rFonts w:ascii="Times New Roman" w:eastAsia="Times New Roman" w:hAnsi="Times New Roman" w:cs="Times New Roman"/>
          <w:sz w:val="24"/>
          <w:szCs w:val="24"/>
        </w:rPr>
        <w:footnoteReference w:id="15"/>
      </w:r>
      <w:r w:rsidRPr="00490283">
        <w:rPr>
          <w:rFonts w:ascii="Times New Roman" w:eastAsia="Times New Roman" w:hAnsi="Times New Roman" w:cs="Times New Roman"/>
          <w:sz w:val="24"/>
          <w:szCs w:val="24"/>
        </w:rPr>
        <w:t xml:space="preserve"> </w:t>
      </w:r>
      <w:r w:rsidRPr="00490283">
        <w:rPr>
          <w:rFonts w:ascii="Times New Roman" w:hAnsi="Times New Roman"/>
          <w:sz w:val="24"/>
          <w:szCs w:val="24"/>
        </w:rPr>
        <w:t xml:space="preserve"> </w:t>
      </w:r>
    </w:p>
    <w:p w:rsidR="00484816" w:rsidRPr="00490283" w:rsidRDefault="00484816" w:rsidP="00484816">
      <w:pPr>
        <w:ind w:right="-180"/>
        <w:jc w:val="both"/>
        <w:rPr>
          <w:rFonts w:ascii="Times New Roman" w:eastAsia="Times New Roman" w:hAnsi="Times New Roman" w:cs="Times New Roman"/>
          <w:color w:val="auto"/>
          <w:sz w:val="24"/>
          <w:szCs w:val="24"/>
        </w:rPr>
      </w:pPr>
      <w:r w:rsidRPr="00490283">
        <w:rPr>
          <w:rFonts w:ascii="Times New Roman" w:hAnsi="Times New Roman"/>
          <w:sz w:val="24"/>
          <w:szCs w:val="24"/>
        </w:rPr>
        <w:tab/>
      </w:r>
      <w:r>
        <w:rPr>
          <w:rFonts w:ascii="Times New Roman" w:hAnsi="Times New Roman"/>
          <w:sz w:val="24"/>
          <w:szCs w:val="24"/>
        </w:rPr>
        <w:t xml:space="preserve">The </w:t>
      </w:r>
      <w:r w:rsidRPr="00490283">
        <w:rPr>
          <w:rFonts w:ascii="Times New Roman" w:hAnsi="Times New Roman"/>
          <w:sz w:val="24"/>
          <w:szCs w:val="24"/>
        </w:rPr>
        <w:t>Court did not</w:t>
      </w:r>
      <w:r w:rsidRPr="00490283">
        <w:rPr>
          <w:rFonts w:ascii="Times New Roman" w:eastAsia="Times New Roman" w:hAnsi="Times New Roman" w:cs="Times New Roman"/>
          <w:sz w:val="24"/>
          <w:szCs w:val="24"/>
        </w:rPr>
        <w:t xml:space="preserve"> extend the application under </w:t>
      </w:r>
      <w:proofErr w:type="spellStart"/>
      <w:r w:rsidRPr="00490283">
        <w:rPr>
          <w:rFonts w:ascii="Times New Roman" w:eastAsia="Times New Roman" w:hAnsi="Times New Roman" w:cs="Times New Roman"/>
          <w:i/>
          <w:sz w:val="24"/>
          <w:szCs w:val="24"/>
        </w:rPr>
        <w:t>Luchejko</w:t>
      </w:r>
      <w:proofErr w:type="spellEnd"/>
      <w:r w:rsidRPr="00490283">
        <w:rPr>
          <w:rFonts w:ascii="Times New Roman" w:eastAsia="Times New Roman" w:hAnsi="Times New Roman" w:cs="Times New Roman"/>
          <w:sz w:val="24"/>
          <w:szCs w:val="24"/>
        </w:rPr>
        <w:t xml:space="preserve">, when considering a similar common-interest community in </w:t>
      </w:r>
      <w:r w:rsidRPr="00490283">
        <w:rPr>
          <w:rFonts w:ascii="Times New Roman" w:eastAsia="Times New Roman" w:hAnsi="Times New Roman" w:cs="Times New Roman"/>
          <w:i/>
          <w:sz w:val="24"/>
          <w:szCs w:val="24"/>
        </w:rPr>
        <w:t>Qian v. Toll Bros</w:t>
      </w:r>
      <w:r>
        <w:rPr>
          <w:rFonts w:ascii="Times New Roman" w:eastAsia="Times New Roman" w:hAnsi="Times New Roman" w:cs="Times New Roman"/>
          <w:i/>
          <w:sz w:val="24"/>
          <w:szCs w:val="24"/>
        </w:rPr>
        <w:t>.</w:t>
      </w:r>
      <w:r w:rsidRPr="00490283">
        <w:rPr>
          <w:rFonts w:ascii="Times New Roman" w:eastAsia="Times New Roman" w:hAnsi="Times New Roman" w:cs="Times New Roman"/>
          <w:sz w:val="24"/>
          <w:szCs w:val="24"/>
        </w:rPr>
        <w:t>, where the private sidewalk fell within the common elements of the property.</w:t>
      </w:r>
      <w:r>
        <w:rPr>
          <w:rStyle w:val="FootnoteReference"/>
          <w:rFonts w:ascii="Times New Roman" w:eastAsia="Times New Roman" w:hAnsi="Times New Roman" w:cs="Times New Roman"/>
          <w:sz w:val="24"/>
          <w:szCs w:val="24"/>
        </w:rPr>
        <w:footnoteReference w:id="16"/>
      </w:r>
      <w:r w:rsidRPr="00490283">
        <w:rPr>
          <w:rFonts w:ascii="Times New Roman" w:eastAsia="Times New Roman" w:hAnsi="Times New Roman" w:cs="Times New Roman"/>
          <w:sz w:val="24"/>
          <w:szCs w:val="24"/>
        </w:rPr>
        <w:t xml:space="preserve"> Instead, the Court decided that the homeowners’ association was a commercial property owner with a duty to keep its private sidewalk reasonably safe.</w:t>
      </w:r>
      <w:r w:rsidRPr="00490283">
        <w:rPr>
          <w:rStyle w:val="FootnoteReference"/>
          <w:rFonts w:ascii="Times New Roman" w:eastAsia="Times New Roman" w:hAnsi="Times New Roman" w:cs="Times New Roman"/>
          <w:sz w:val="24"/>
          <w:szCs w:val="24"/>
        </w:rPr>
        <w:footnoteReference w:id="17"/>
      </w:r>
      <w:r w:rsidRPr="00490283">
        <w:rPr>
          <w:rFonts w:ascii="Times New Roman" w:eastAsia="Times New Roman" w:hAnsi="Times New Roman" w:cs="Times New Roman"/>
          <w:sz w:val="24"/>
          <w:szCs w:val="24"/>
        </w:rPr>
        <w:t xml:space="preserve"> </w:t>
      </w:r>
    </w:p>
    <w:p w:rsidR="00484816" w:rsidRDefault="00484816" w:rsidP="00484816">
      <w:pPr>
        <w:ind w:right="-180"/>
        <w:jc w:val="both"/>
        <w:rPr>
          <w:rFonts w:ascii="Times New Roman" w:eastAsia="Times New Roman" w:hAnsi="Times New Roman" w:cs="Times New Roman"/>
          <w:sz w:val="24"/>
          <w:szCs w:val="24"/>
        </w:rPr>
      </w:pPr>
      <w:r w:rsidRPr="00490283">
        <w:rPr>
          <w:rFonts w:ascii="Times New Roman" w:eastAsia="Times New Roman" w:hAnsi="Times New Roman" w:cs="Times New Roman"/>
          <w:sz w:val="24"/>
          <w:szCs w:val="24"/>
        </w:rPr>
        <w:tab/>
        <w:t xml:space="preserve">The Appellate Division, in </w:t>
      </w:r>
      <w:r w:rsidRPr="00490283">
        <w:rPr>
          <w:rFonts w:ascii="Times New Roman" w:eastAsia="Times New Roman" w:hAnsi="Times New Roman" w:cs="Times New Roman"/>
          <w:i/>
          <w:sz w:val="24"/>
          <w:szCs w:val="24"/>
        </w:rPr>
        <w:t>Zheng v. Santos</w:t>
      </w:r>
      <w:r w:rsidRPr="00490283">
        <w:rPr>
          <w:rFonts w:ascii="Times New Roman" w:eastAsia="Times New Roman" w:hAnsi="Times New Roman" w:cs="Times New Roman"/>
          <w:sz w:val="24"/>
          <w:szCs w:val="24"/>
        </w:rPr>
        <w:t xml:space="preserve">, called on the Legislature or </w:t>
      </w:r>
      <w:r>
        <w:rPr>
          <w:rFonts w:ascii="Times New Roman" w:eastAsia="Times New Roman" w:hAnsi="Times New Roman" w:cs="Times New Roman"/>
          <w:sz w:val="24"/>
          <w:szCs w:val="24"/>
        </w:rPr>
        <w:t xml:space="preserve">the </w:t>
      </w:r>
      <w:r w:rsidRPr="00490283">
        <w:rPr>
          <w:rFonts w:ascii="Times New Roman" w:eastAsia="Times New Roman" w:hAnsi="Times New Roman" w:cs="Times New Roman"/>
          <w:sz w:val="24"/>
          <w:szCs w:val="24"/>
        </w:rPr>
        <w:t>Supreme Court to clarify this area of the law.</w:t>
      </w:r>
      <w:r w:rsidRPr="00490283">
        <w:rPr>
          <w:rStyle w:val="FootnoteReference"/>
          <w:rFonts w:ascii="Times New Roman" w:eastAsia="Times New Roman" w:hAnsi="Times New Roman" w:cs="Times New Roman"/>
          <w:sz w:val="24"/>
          <w:szCs w:val="24"/>
        </w:rPr>
        <w:footnoteReference w:id="18"/>
      </w:r>
      <w:r>
        <w:rPr>
          <w:rFonts w:ascii="Times New Roman" w:eastAsia="Times New Roman" w:hAnsi="Times New Roman" w:cs="Times New Roman"/>
          <w:sz w:val="24"/>
          <w:szCs w:val="24"/>
        </w:rPr>
        <w:t xml:space="preserve"> The Court noted that:</w:t>
      </w:r>
    </w:p>
    <w:p w:rsidR="00484816" w:rsidRDefault="00484816" w:rsidP="00484816">
      <w:pPr>
        <w:spacing w:after="0" w:line="240" w:lineRule="auto"/>
        <w:ind w:left="720" w:right="720"/>
        <w:jc w:val="both"/>
        <w:rPr>
          <w:rFonts w:ascii="Times" w:eastAsia="Times New Roman" w:hAnsi="Times" w:cs="Times New Roman"/>
          <w:color w:val="auto"/>
          <w:sz w:val="20"/>
          <w:szCs w:val="20"/>
        </w:rPr>
      </w:pPr>
      <w:r w:rsidRPr="000D2B82">
        <w:rPr>
          <w:rFonts w:ascii="Times New Roman" w:eastAsia="Times New Roman" w:hAnsi="Times New Roman" w:cs="Arial"/>
          <w:color w:val="212121"/>
          <w:sz w:val="24"/>
          <w:szCs w:val="24"/>
        </w:rPr>
        <w:t>The law would be more predictable if either the Legislature or the Supreme Court specified which owner-occupied residential properties are immune from sidewalk tort liability. By analogy, the Legislature provided such a specification in designating rental properties that are not subject to the Anti–Eviction Act</w:t>
      </w:r>
      <w:r w:rsidRPr="000D2B82">
        <w:rPr>
          <w:rFonts w:ascii="Arial" w:eastAsia="Times New Roman" w:hAnsi="Arial" w:cs="Arial"/>
          <w:color w:val="212121"/>
          <w:sz w:val="21"/>
          <w:szCs w:val="21"/>
        </w:rPr>
        <w:t>.</w:t>
      </w:r>
    </w:p>
    <w:p w:rsidR="00484816" w:rsidRPr="000D2B82" w:rsidRDefault="00484816" w:rsidP="00484816">
      <w:pPr>
        <w:spacing w:after="0" w:line="240" w:lineRule="auto"/>
        <w:ind w:left="720" w:right="720"/>
        <w:jc w:val="both"/>
        <w:rPr>
          <w:rFonts w:ascii="Times" w:eastAsia="Times New Roman" w:hAnsi="Times" w:cs="Times New Roman"/>
          <w:color w:val="auto"/>
          <w:sz w:val="20"/>
          <w:szCs w:val="20"/>
        </w:rPr>
      </w:pPr>
    </w:p>
    <w:p w:rsidR="00484816" w:rsidRPr="00490283" w:rsidRDefault="00484816" w:rsidP="00484816">
      <w:pPr>
        <w:ind w:right="-18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The c</w:t>
      </w:r>
      <w:r w:rsidRPr="00490283">
        <w:rPr>
          <w:rFonts w:ascii="Times New Roman" w:eastAsia="Times New Roman" w:hAnsi="Times New Roman" w:cs="Times New Roman"/>
          <w:sz w:val="24"/>
          <w:szCs w:val="24"/>
        </w:rPr>
        <w:t>ourt identified the structure of the Anti-Eviction</w:t>
      </w:r>
      <w:r>
        <w:rPr>
          <w:rFonts w:ascii="Times New Roman" w:eastAsia="Times New Roman" w:hAnsi="Times New Roman" w:cs="Times New Roman"/>
          <w:sz w:val="24"/>
          <w:szCs w:val="24"/>
        </w:rPr>
        <w:t xml:space="preserve"> Act</w:t>
      </w:r>
      <w:r w:rsidRPr="00490283">
        <w:rPr>
          <w:rFonts w:ascii="Times New Roman" w:eastAsia="Times New Roman" w:hAnsi="Times New Roman" w:cs="Times New Roman"/>
          <w:sz w:val="24"/>
          <w:szCs w:val="24"/>
        </w:rPr>
        <w:t xml:space="preserve"> as an example for possible statutory revisions in this area of the law.</w:t>
      </w:r>
      <w:r>
        <w:rPr>
          <w:rStyle w:val="FootnoteReference"/>
          <w:rFonts w:ascii="Times New Roman" w:eastAsia="Times New Roman" w:hAnsi="Times New Roman" w:cs="Times New Roman"/>
          <w:sz w:val="24"/>
          <w:szCs w:val="24"/>
        </w:rPr>
        <w:footnoteReference w:id="19"/>
      </w:r>
      <w:r w:rsidRPr="004902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Under N.J.S. 2A:18-61.1, </w:t>
      </w:r>
      <w:r w:rsidRPr="00490283">
        <w:rPr>
          <w:rFonts w:ascii="Times New Roman" w:eastAsia="Times New Roman" w:hAnsi="Times New Roman" w:cs="Times New Roman"/>
          <w:color w:val="252525"/>
          <w:sz w:val="24"/>
          <w:szCs w:val="24"/>
        </w:rPr>
        <w:t xml:space="preserve">the </w:t>
      </w:r>
      <w:r w:rsidR="006C1F05">
        <w:rPr>
          <w:rFonts w:ascii="Times New Roman" w:eastAsia="Times New Roman" w:hAnsi="Times New Roman" w:cs="Times New Roman"/>
          <w:color w:val="252525"/>
          <w:sz w:val="24"/>
          <w:szCs w:val="24"/>
        </w:rPr>
        <w:t xml:space="preserve">Anti-Eviction </w:t>
      </w:r>
      <w:r w:rsidRPr="00490283">
        <w:rPr>
          <w:rFonts w:ascii="Times New Roman" w:eastAsia="Times New Roman" w:hAnsi="Times New Roman" w:cs="Times New Roman"/>
          <w:color w:val="252525"/>
          <w:sz w:val="24"/>
          <w:szCs w:val="24"/>
        </w:rPr>
        <w:t xml:space="preserve">statute identifies </w:t>
      </w:r>
      <w:r>
        <w:rPr>
          <w:rFonts w:ascii="Times New Roman" w:eastAsia="Times New Roman" w:hAnsi="Times New Roman" w:cs="Times New Roman"/>
          <w:color w:val="252525"/>
          <w:sz w:val="24"/>
          <w:szCs w:val="24"/>
        </w:rPr>
        <w:t>the</w:t>
      </w:r>
      <w:r w:rsidRPr="00490283">
        <w:rPr>
          <w:rFonts w:ascii="Times New Roman" w:eastAsia="Times New Roman" w:hAnsi="Times New Roman" w:cs="Times New Roman"/>
          <w:color w:val="252525"/>
          <w:sz w:val="24"/>
          <w:szCs w:val="24"/>
        </w:rPr>
        <w:t xml:space="preserve"> rental properties </w:t>
      </w:r>
      <w:r>
        <w:rPr>
          <w:rFonts w:ascii="Times New Roman" w:eastAsia="Times New Roman" w:hAnsi="Times New Roman" w:cs="Times New Roman"/>
          <w:color w:val="252525"/>
          <w:sz w:val="24"/>
          <w:szCs w:val="24"/>
        </w:rPr>
        <w:t xml:space="preserve">that </w:t>
      </w:r>
      <w:r w:rsidRPr="00490283">
        <w:rPr>
          <w:rFonts w:ascii="Times New Roman" w:eastAsia="Times New Roman" w:hAnsi="Times New Roman" w:cs="Times New Roman"/>
          <w:color w:val="252525"/>
          <w:sz w:val="24"/>
          <w:szCs w:val="24"/>
        </w:rPr>
        <w:t xml:space="preserve">are subject to the Act and those which are not: </w:t>
      </w:r>
    </w:p>
    <w:p w:rsidR="00484816" w:rsidRPr="00490283" w:rsidRDefault="00484816" w:rsidP="00484816">
      <w:pPr>
        <w:tabs>
          <w:tab w:val="left" w:pos="810"/>
          <w:tab w:val="left" w:pos="8550"/>
        </w:tabs>
        <w:spacing w:after="120"/>
        <w:ind w:left="720" w:right="540" w:hanging="540"/>
        <w:jc w:val="both"/>
        <w:rPr>
          <w:rFonts w:ascii="Times New Roman" w:eastAsia="Times New Roman" w:hAnsi="Times New Roman" w:cs="Arial"/>
          <w:color w:val="auto"/>
          <w:sz w:val="24"/>
          <w:szCs w:val="24"/>
        </w:rPr>
      </w:pPr>
      <w:r>
        <w:rPr>
          <w:rFonts w:ascii="Times New Roman" w:eastAsia="Times New Roman" w:hAnsi="Times New Roman" w:cs="Arial"/>
          <w:color w:val="212121"/>
          <w:sz w:val="24"/>
          <w:szCs w:val="24"/>
        </w:rPr>
        <w:tab/>
        <w:t xml:space="preserve">No </w:t>
      </w:r>
      <w:r w:rsidRPr="00490283">
        <w:rPr>
          <w:rFonts w:ascii="Times New Roman" w:eastAsia="Times New Roman" w:hAnsi="Times New Roman" w:cs="Arial"/>
          <w:color w:val="212121"/>
          <w:sz w:val="24"/>
          <w:szCs w:val="24"/>
        </w:rPr>
        <w:t>lessee or tenant or the assigns, under-tenants or legal representatives of such lessee or tenant may be removed by the Superior Court from any house, building, mobile home or land in a mobile home park or tenement leased for residential purposes, other than (1) owner-occupied premises with not more than two rental units or a hotel, motel or other guest house or part thereof rented to a transient guest or seasonal tenant; (2) a dwelling unit which is held in trust on behalf of a member of the immediate family of the person or persons establishing the trust, provided that the member of the immediate family on whose behalf the trust is established permanently occupies the unit; and (3) a dwelling unit which is permanently occupied by a member of the immediate family of the owner of that unit, provided, however, that exception (2) or (3) shall apply only in cases in which the member of the immediate family has a developmental disability, except upon establishment of one of the following grounds as good cause</w:t>
      </w:r>
      <w:r>
        <w:rPr>
          <w:rFonts w:ascii="Times New Roman" w:eastAsia="Times New Roman" w:hAnsi="Times New Roman" w:cs="Arial"/>
          <w:color w:val="212121"/>
          <w:sz w:val="24"/>
          <w:szCs w:val="24"/>
        </w:rPr>
        <w:t>.</w:t>
      </w:r>
      <w:r>
        <w:rPr>
          <w:rStyle w:val="FootnoteReference"/>
          <w:rFonts w:ascii="Times New Roman" w:eastAsia="Times New Roman" w:hAnsi="Times New Roman" w:cs="Arial"/>
          <w:color w:val="212121"/>
          <w:sz w:val="24"/>
          <w:szCs w:val="24"/>
        </w:rPr>
        <w:footnoteReference w:id="20"/>
      </w:r>
    </w:p>
    <w:p w:rsidR="00484816" w:rsidRDefault="00484816" w:rsidP="00484816">
      <w:pPr>
        <w:pStyle w:val="Normal1"/>
        <w:widowControl w:val="0"/>
        <w:spacing w:after="120"/>
        <w:ind w:right="-180"/>
        <w:jc w:val="both"/>
      </w:pPr>
      <w:r w:rsidRPr="004850C0">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 xml:space="preserve">Another approach </w:t>
      </w:r>
      <w:r w:rsidRPr="004850C0">
        <w:rPr>
          <w:rFonts w:ascii="Times New Roman" w:eastAsia="Times New Roman" w:hAnsi="Times New Roman" w:cs="Times New Roman"/>
          <w:sz w:val="24"/>
          <w:szCs w:val="24"/>
        </w:rPr>
        <w:t>call</w:t>
      </w:r>
      <w:r>
        <w:rPr>
          <w:rFonts w:ascii="Times New Roman" w:eastAsia="Times New Roman" w:hAnsi="Times New Roman" w:cs="Times New Roman"/>
          <w:sz w:val="24"/>
          <w:szCs w:val="24"/>
        </w:rPr>
        <w:t>s</w:t>
      </w:r>
      <w:r w:rsidRPr="004850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w:t>
      </w:r>
      <w:r w:rsidRPr="004850C0">
        <w:rPr>
          <w:rFonts w:ascii="Times New Roman" w:eastAsia="Times New Roman" w:hAnsi="Times New Roman" w:cs="Times New Roman"/>
          <w:sz w:val="24"/>
          <w:szCs w:val="24"/>
        </w:rPr>
        <w:t>a return to the common law rule, “</w:t>
      </w:r>
      <w:r w:rsidRPr="004850C0">
        <w:rPr>
          <w:rFonts w:ascii="Times New Roman" w:hAnsi="Times New Roman"/>
          <w:sz w:val="24"/>
          <w:szCs w:val="24"/>
        </w:rPr>
        <w:t xml:space="preserve">in the interest of fairness, uniformity and </w:t>
      </w:r>
      <w:proofErr w:type="gramStart"/>
      <w:r w:rsidRPr="004850C0">
        <w:rPr>
          <w:rFonts w:ascii="Times New Roman" w:hAnsi="Times New Roman"/>
          <w:sz w:val="24"/>
          <w:szCs w:val="24"/>
        </w:rPr>
        <w:t>predictability</w:t>
      </w:r>
      <w:r>
        <w:rPr>
          <w:rFonts w:ascii="Times New Roman" w:hAnsi="Times New Roman"/>
          <w:sz w:val="24"/>
          <w:szCs w:val="24"/>
        </w:rPr>
        <w:t>[</w:t>
      </w:r>
      <w:proofErr w:type="gramEnd"/>
      <w:r>
        <w:rPr>
          <w:rFonts w:ascii="Times New Roman" w:hAnsi="Times New Roman"/>
          <w:sz w:val="24"/>
          <w:szCs w:val="24"/>
        </w:rPr>
        <w:t>, judicial precedent]</w:t>
      </w:r>
      <w:r w:rsidRPr="004850C0">
        <w:rPr>
          <w:rFonts w:ascii="Times New Roman" w:hAnsi="Times New Roman"/>
          <w:sz w:val="24"/>
          <w:szCs w:val="24"/>
        </w:rPr>
        <w:t xml:space="preserve"> should be replaced by a uniform standard irrespective of the status of the propert</w:t>
      </w:r>
      <w:r>
        <w:rPr>
          <w:rFonts w:ascii="Times New Roman" w:hAnsi="Times New Roman"/>
          <w:sz w:val="24"/>
          <w:szCs w:val="24"/>
        </w:rPr>
        <w:t>y owner or the unsafe condition</w:t>
      </w:r>
      <w:r w:rsidRPr="004850C0">
        <w:rPr>
          <w:rFonts w:ascii="Times New Roman" w:hAnsi="Times New Roman"/>
          <w:sz w:val="24"/>
          <w:szCs w:val="24"/>
        </w:rPr>
        <w:t xml:space="preserve">.” </w:t>
      </w:r>
      <w:r>
        <w:rPr>
          <w:rStyle w:val="FootnoteReference"/>
          <w:rFonts w:ascii="Times New Roman" w:hAnsi="Times New Roman"/>
          <w:sz w:val="24"/>
          <w:szCs w:val="24"/>
        </w:rPr>
        <w:footnoteReference w:id="21"/>
      </w:r>
      <w:r w:rsidRPr="004850C0">
        <w:rPr>
          <w:rFonts w:ascii="Times New Roman" w:hAnsi="Times New Roman"/>
          <w:sz w:val="24"/>
          <w:szCs w:val="24"/>
        </w:rPr>
        <w:t xml:space="preserve"> </w:t>
      </w:r>
      <w:r w:rsidR="006C1F05">
        <w:rPr>
          <w:rFonts w:ascii="Times New Roman" w:hAnsi="Times New Roman"/>
          <w:sz w:val="24"/>
          <w:szCs w:val="24"/>
        </w:rPr>
        <w:t>Although</w:t>
      </w:r>
      <w:r>
        <w:rPr>
          <w:rFonts w:ascii="Times New Roman" w:hAnsi="Times New Roman"/>
          <w:sz w:val="24"/>
          <w:szCs w:val="24"/>
        </w:rPr>
        <w:t xml:space="preserve"> this proposal restores the predictability of the common law rule, t</w:t>
      </w:r>
      <w:r w:rsidRPr="004850C0">
        <w:rPr>
          <w:rFonts w:ascii="Times New Roman" w:hAnsi="Times New Roman"/>
          <w:sz w:val="24"/>
          <w:szCs w:val="24"/>
        </w:rPr>
        <w:t xml:space="preserve">he direction proposed by the Appellate Division is in keeping with the </w:t>
      </w:r>
      <w:r>
        <w:rPr>
          <w:rFonts w:ascii="Times New Roman" w:hAnsi="Times New Roman"/>
          <w:sz w:val="24"/>
          <w:szCs w:val="24"/>
        </w:rPr>
        <w:t xml:space="preserve">judicial precedent to maintain </w:t>
      </w:r>
      <w:r w:rsidRPr="004850C0">
        <w:rPr>
          <w:rFonts w:ascii="Times New Roman" w:hAnsi="Times New Roman"/>
          <w:sz w:val="24"/>
          <w:szCs w:val="24"/>
        </w:rPr>
        <w:t xml:space="preserve">a distinction between commercial and residential property owners </w:t>
      </w:r>
      <w:r>
        <w:rPr>
          <w:rFonts w:ascii="Times New Roman" w:hAnsi="Times New Roman"/>
          <w:sz w:val="24"/>
          <w:szCs w:val="24"/>
        </w:rPr>
        <w:t xml:space="preserve">to </w:t>
      </w:r>
      <w:r>
        <w:rPr>
          <w:rFonts w:ascii="Times New Roman" w:eastAsia="Times New Roman" w:hAnsi="Times New Roman" w:cs="Times New Roman"/>
          <w:sz w:val="24"/>
          <w:szCs w:val="24"/>
        </w:rPr>
        <w:t>ensure the public’s “right to safe and unimpeded passage” on abutting sidewalks.</w:t>
      </w:r>
    </w:p>
    <w:p w:rsidR="00484816" w:rsidRPr="00732F0D" w:rsidRDefault="00484816" w:rsidP="00484816">
      <w:pPr>
        <w:pStyle w:val="Normal1"/>
        <w:widowControl w:val="0"/>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484816" w:rsidRDefault="00484816" w:rsidP="00484816">
      <w:pPr>
        <w:pStyle w:val="Normal1"/>
        <w:widowControl w:val="0"/>
        <w:spacing w:after="12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New Jersey Supreme Court established a bright-line distinction between the liability imposed on commercial and residential property owners, a line of cases identifies a “gray area” concerning the classification of properties with a hybrid form of ownership or mixed use. Clarifying the statutes governing sidewalk tort liability may guide interpretation and provide notice to property owners. Statutory revisions may also foster public awareness of and reliance on the statutory requirements for determining whether a cause of action emanates from an injury resulting from the conditions of an abutting sidewalk. </w:t>
      </w:r>
    </w:p>
    <w:p w:rsidR="00484816" w:rsidRDefault="00484816" w:rsidP="00484816">
      <w:pPr>
        <w:pStyle w:val="Normal1"/>
        <w:widowControl w:val="0"/>
        <w:spacing w:after="0"/>
        <w:ind w:firstLine="720"/>
        <w:jc w:val="both"/>
        <w:rPr>
          <w:rFonts w:ascii="Times New Roman" w:eastAsia="Times New Roman" w:hAnsi="Times New Roman" w:cs="Times New Roman"/>
          <w:sz w:val="24"/>
          <w:szCs w:val="24"/>
        </w:rPr>
      </w:pPr>
    </w:p>
    <w:p w:rsidR="00484816" w:rsidRDefault="00484816" w:rsidP="00484816">
      <w:pPr>
        <w:pStyle w:val="Normal1"/>
        <w:spacing w:after="120"/>
        <w:ind w:firstLine="720"/>
        <w:jc w:val="both"/>
      </w:pPr>
    </w:p>
    <w:p w:rsidR="00484816" w:rsidRDefault="00484816" w:rsidP="00484816">
      <w:pPr>
        <w:pStyle w:val="Normal1"/>
        <w:spacing w:after="120"/>
        <w:ind w:firstLine="720"/>
        <w:jc w:val="both"/>
      </w:pPr>
    </w:p>
    <w:p w:rsidR="004B2C65" w:rsidRDefault="004B2C65"/>
    <w:sectPr w:rsidR="004B2C65" w:rsidSect="008F09FB">
      <w:footerReference w:type="default" r:id="rId8"/>
      <w:pgSz w:w="12240" w:h="15840"/>
      <w:pgMar w:top="1440" w:right="1530" w:bottom="1440" w:left="135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CA" w:rsidRDefault="00D442CA" w:rsidP="00484816">
      <w:pPr>
        <w:spacing w:after="0" w:line="240" w:lineRule="auto"/>
      </w:pPr>
      <w:r>
        <w:separator/>
      </w:r>
    </w:p>
  </w:endnote>
  <w:endnote w:type="continuationSeparator" w:id="0">
    <w:p w:rsidR="00D442CA" w:rsidRDefault="00D442CA" w:rsidP="0048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9FB" w:rsidRPr="00A217E2" w:rsidRDefault="00D442CA" w:rsidP="00A217E2">
    <w:pPr>
      <w:pStyle w:val="Normal1"/>
      <w:tabs>
        <w:tab w:val="center" w:pos="4680"/>
        <w:tab w:val="right" w:pos="9360"/>
      </w:tabs>
      <w:spacing w:after="0" w:line="240" w:lineRule="auto"/>
      <w:jc w:val="center"/>
      <w:rPr>
        <w:rFonts w:ascii="Times New Roman" w:hAnsi="Times New Roman" w:cs="Times New Roman"/>
        <w:sz w:val="20"/>
        <w:szCs w:val="20"/>
      </w:rPr>
    </w:pPr>
  </w:p>
  <w:p w:rsidR="008F09FB" w:rsidRPr="00A217E2" w:rsidRDefault="00484816" w:rsidP="00A217E2">
    <w:pPr>
      <w:pStyle w:val="Normal1"/>
      <w:widowControl w:val="0"/>
      <w:spacing w:after="0" w:line="240" w:lineRule="auto"/>
      <w:jc w:val="center"/>
      <w:rPr>
        <w:rFonts w:ascii="Times New Roman" w:hAnsi="Times New Roman" w:cs="Times New Roman"/>
        <w:sz w:val="20"/>
        <w:szCs w:val="20"/>
      </w:rPr>
    </w:pPr>
    <w:r w:rsidRPr="00A217E2">
      <w:rPr>
        <w:rFonts w:ascii="Times New Roman" w:hAnsi="Times New Roman" w:cs="Times New Roman"/>
        <w:sz w:val="20"/>
        <w:szCs w:val="20"/>
      </w:rPr>
      <w:t>Memorandum – Sidewalk Liability Statute</w:t>
    </w:r>
    <w:r>
      <w:rPr>
        <w:rFonts w:ascii="Times New Roman" w:hAnsi="Times New Roman" w:cs="Times New Roman"/>
        <w:sz w:val="20"/>
        <w:szCs w:val="20"/>
      </w:rPr>
      <w:t xml:space="preserve"> </w:t>
    </w:r>
    <w:r w:rsidRPr="00A217E2">
      <w:rPr>
        <w:rFonts w:ascii="Times New Roman" w:hAnsi="Times New Roman" w:cs="Times New Roman"/>
        <w:sz w:val="20"/>
        <w:szCs w:val="20"/>
      </w:rPr>
      <w:t xml:space="preserve">– June 6, 2016 – Page </w:t>
    </w:r>
    <w:r w:rsidRPr="00A217E2">
      <w:rPr>
        <w:rFonts w:ascii="Times New Roman" w:hAnsi="Times New Roman" w:cs="Times New Roman"/>
        <w:sz w:val="20"/>
        <w:szCs w:val="20"/>
      </w:rPr>
      <w:fldChar w:fldCharType="begin"/>
    </w:r>
    <w:r w:rsidRPr="00A217E2">
      <w:rPr>
        <w:rFonts w:ascii="Times New Roman" w:hAnsi="Times New Roman" w:cs="Times New Roman"/>
        <w:sz w:val="20"/>
        <w:szCs w:val="20"/>
      </w:rPr>
      <w:instrText>PAGE</w:instrText>
    </w:r>
    <w:r w:rsidRPr="00A217E2">
      <w:rPr>
        <w:rFonts w:ascii="Times New Roman" w:hAnsi="Times New Roman" w:cs="Times New Roman"/>
        <w:sz w:val="20"/>
        <w:szCs w:val="20"/>
      </w:rPr>
      <w:fldChar w:fldCharType="separate"/>
    </w:r>
    <w:r w:rsidR="00AC2576">
      <w:rPr>
        <w:rFonts w:ascii="Times New Roman" w:hAnsi="Times New Roman" w:cs="Times New Roman"/>
        <w:noProof/>
        <w:sz w:val="20"/>
        <w:szCs w:val="20"/>
      </w:rPr>
      <w:t>2</w:t>
    </w:r>
    <w:r w:rsidRPr="00A217E2">
      <w:rPr>
        <w:rFonts w:ascii="Times New Roman" w:hAnsi="Times New Roman" w:cs="Times New Roman"/>
        <w:noProof/>
        <w:sz w:val="20"/>
        <w:szCs w:val="20"/>
      </w:rPr>
      <w:fldChar w:fldCharType="end"/>
    </w:r>
  </w:p>
  <w:p w:rsidR="008F09FB" w:rsidRDefault="00D442CA">
    <w:pPr>
      <w:pStyle w:val="Normal1"/>
      <w:tabs>
        <w:tab w:val="center" w:pos="4680"/>
        <w:tab w:val="right" w:pos="9360"/>
      </w:tabs>
      <w:spacing w:after="0" w:line="240" w:lineRule="auto"/>
      <w:jc w:val="center"/>
    </w:pPr>
  </w:p>
  <w:p w:rsidR="008F09FB" w:rsidRDefault="00D442CA">
    <w:pPr>
      <w:pStyle w:val="Normal1"/>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CA" w:rsidRDefault="00D442CA" w:rsidP="00484816">
      <w:pPr>
        <w:spacing w:after="0" w:line="240" w:lineRule="auto"/>
      </w:pPr>
      <w:r>
        <w:separator/>
      </w:r>
    </w:p>
  </w:footnote>
  <w:footnote w:type="continuationSeparator" w:id="0">
    <w:p w:rsidR="00D442CA" w:rsidRDefault="00D442CA" w:rsidP="00484816">
      <w:pPr>
        <w:spacing w:after="0" w:line="240" w:lineRule="auto"/>
      </w:pPr>
      <w:r>
        <w:continuationSeparator/>
      </w:r>
    </w:p>
  </w:footnote>
  <w:footnote w:id="1">
    <w:p w:rsidR="00484816" w:rsidRPr="00490283" w:rsidRDefault="00484816" w:rsidP="00484816">
      <w:pPr>
        <w:pStyle w:val="FootnoteText"/>
        <w:rPr>
          <w:rFonts w:ascii="Times New Roman" w:hAnsi="Times New Roman"/>
          <w:sz w:val="20"/>
          <w:szCs w:val="20"/>
        </w:rPr>
      </w:pPr>
      <w:r w:rsidRPr="00490283">
        <w:rPr>
          <w:rStyle w:val="FootnoteReference"/>
          <w:rFonts w:ascii="Times New Roman" w:hAnsi="Times New Roman"/>
          <w:sz w:val="20"/>
          <w:szCs w:val="20"/>
        </w:rPr>
        <w:footnoteRef/>
      </w:r>
      <w:r w:rsidRPr="00490283">
        <w:rPr>
          <w:rFonts w:ascii="Times New Roman" w:hAnsi="Times New Roman"/>
          <w:sz w:val="20"/>
          <w:szCs w:val="20"/>
        </w:rPr>
        <w:t xml:space="preserve"> </w:t>
      </w:r>
      <w:proofErr w:type="gramStart"/>
      <w:r w:rsidRPr="00490283">
        <w:rPr>
          <w:rFonts w:ascii="Times New Roman" w:hAnsi="Times New Roman"/>
          <w:i/>
          <w:sz w:val="20"/>
          <w:szCs w:val="20"/>
        </w:rPr>
        <w:t>Davis v. Pecorino</w:t>
      </w:r>
      <w:r w:rsidRPr="00490283">
        <w:rPr>
          <w:rFonts w:ascii="Times New Roman" w:hAnsi="Times New Roman"/>
          <w:sz w:val="20"/>
          <w:szCs w:val="20"/>
        </w:rPr>
        <w:t>, 69 N.J. 1, 4 (1975).</w:t>
      </w:r>
      <w:proofErr w:type="gramEnd"/>
    </w:p>
  </w:footnote>
  <w:footnote w:id="2">
    <w:p w:rsidR="00484816" w:rsidRPr="00490283" w:rsidRDefault="00484816" w:rsidP="00484816">
      <w:pPr>
        <w:pStyle w:val="FootnoteText"/>
        <w:rPr>
          <w:rFonts w:ascii="Times New Roman" w:hAnsi="Times New Roman"/>
          <w:sz w:val="20"/>
          <w:szCs w:val="20"/>
        </w:rPr>
      </w:pPr>
      <w:r w:rsidRPr="00490283">
        <w:rPr>
          <w:rStyle w:val="FootnoteReference"/>
          <w:rFonts w:ascii="Times New Roman" w:hAnsi="Times New Roman"/>
          <w:sz w:val="20"/>
          <w:szCs w:val="20"/>
        </w:rPr>
        <w:footnoteRef/>
      </w:r>
      <w:r w:rsidRPr="00490283">
        <w:rPr>
          <w:rFonts w:ascii="Times New Roman" w:hAnsi="Times New Roman"/>
          <w:sz w:val="20"/>
          <w:szCs w:val="20"/>
        </w:rPr>
        <w:t xml:space="preserve"> </w:t>
      </w:r>
      <w:r w:rsidRPr="00490283">
        <w:rPr>
          <w:rFonts w:ascii="Times New Roman" w:eastAsia="Times New Roman" w:hAnsi="Times New Roman" w:cs="Times New Roman"/>
          <w:i/>
          <w:sz w:val="20"/>
          <w:szCs w:val="20"/>
        </w:rPr>
        <w:t>Id</w:t>
      </w:r>
      <w:r w:rsidRPr="00490283">
        <w:rPr>
          <w:rFonts w:ascii="Times New Roman" w:eastAsia="Times New Roman" w:hAnsi="Times New Roman" w:cs="Times New Roman"/>
          <w:sz w:val="20"/>
          <w:szCs w:val="20"/>
        </w:rPr>
        <w:t>.</w:t>
      </w:r>
    </w:p>
  </w:footnote>
  <w:footnote w:id="3">
    <w:p w:rsidR="00484816" w:rsidRPr="00490283" w:rsidRDefault="00484816" w:rsidP="00484816">
      <w:pPr>
        <w:pStyle w:val="FootnoteText"/>
        <w:rPr>
          <w:rFonts w:ascii="Times New Roman" w:hAnsi="Times New Roman"/>
          <w:sz w:val="20"/>
          <w:szCs w:val="20"/>
        </w:rPr>
      </w:pPr>
      <w:r w:rsidRPr="00490283">
        <w:rPr>
          <w:rStyle w:val="FootnoteReference"/>
          <w:rFonts w:ascii="Times New Roman" w:hAnsi="Times New Roman"/>
          <w:sz w:val="20"/>
          <w:szCs w:val="20"/>
        </w:rPr>
        <w:footnoteRef/>
      </w:r>
      <w:r w:rsidRPr="00490283">
        <w:rPr>
          <w:rFonts w:ascii="Times New Roman" w:hAnsi="Times New Roman"/>
          <w:sz w:val="20"/>
          <w:szCs w:val="20"/>
        </w:rPr>
        <w:t xml:space="preserve"> </w:t>
      </w:r>
      <w:r w:rsidRPr="00490283">
        <w:rPr>
          <w:rFonts w:ascii="Times New Roman" w:eastAsia="Times New Roman" w:hAnsi="Times New Roman" w:cs="Times New Roman"/>
          <w:i/>
          <w:sz w:val="20"/>
          <w:szCs w:val="20"/>
        </w:rPr>
        <w:t>Saco v. Hall</w:t>
      </w:r>
      <w:r w:rsidRPr="00490283">
        <w:rPr>
          <w:rFonts w:ascii="Times New Roman" w:eastAsia="Times New Roman" w:hAnsi="Times New Roman" w:cs="Times New Roman"/>
          <w:sz w:val="20"/>
          <w:szCs w:val="20"/>
        </w:rPr>
        <w:t xml:space="preserve">, 1 N.J. 377, 381 (1949); </w:t>
      </w:r>
      <w:r w:rsidRPr="00490283">
        <w:rPr>
          <w:rFonts w:ascii="Times New Roman" w:eastAsia="Times New Roman" w:hAnsi="Times New Roman" w:cs="Times New Roman"/>
          <w:i/>
          <w:sz w:val="20"/>
          <w:szCs w:val="20"/>
        </w:rPr>
        <w:t>see also</w:t>
      </w:r>
      <w:r w:rsidRPr="00490283">
        <w:rPr>
          <w:rFonts w:ascii="Times New Roman" w:eastAsia="Times New Roman" w:hAnsi="Times New Roman" w:cs="Times New Roman"/>
          <w:sz w:val="20"/>
          <w:szCs w:val="20"/>
        </w:rPr>
        <w:t xml:space="preserve"> </w:t>
      </w:r>
      <w:proofErr w:type="spellStart"/>
      <w:r w:rsidRPr="00490283">
        <w:rPr>
          <w:rFonts w:ascii="Times New Roman" w:eastAsia="Times New Roman" w:hAnsi="Times New Roman" w:cs="Times New Roman"/>
          <w:i/>
          <w:sz w:val="20"/>
          <w:szCs w:val="20"/>
        </w:rPr>
        <w:t>Yanko</w:t>
      </w:r>
      <w:proofErr w:type="spellEnd"/>
      <w:r w:rsidRPr="00490283">
        <w:rPr>
          <w:rFonts w:ascii="Times New Roman" w:eastAsia="Times New Roman" w:hAnsi="Times New Roman" w:cs="Times New Roman"/>
          <w:i/>
          <w:sz w:val="20"/>
          <w:szCs w:val="20"/>
        </w:rPr>
        <w:t xml:space="preserve"> v. Fane</w:t>
      </w:r>
      <w:r w:rsidRPr="00490283">
        <w:rPr>
          <w:rFonts w:ascii="Times New Roman" w:eastAsia="Times New Roman" w:hAnsi="Times New Roman" w:cs="Times New Roman"/>
          <w:sz w:val="20"/>
          <w:szCs w:val="20"/>
        </w:rPr>
        <w:t>, 70 N.J. 528, 534-37 (1976)</w:t>
      </w:r>
      <w:r w:rsidR="009C2D5B">
        <w:rPr>
          <w:rFonts w:ascii="Times New Roman" w:eastAsia="Times New Roman" w:hAnsi="Times New Roman" w:cs="Times New Roman"/>
          <w:sz w:val="20"/>
          <w:szCs w:val="20"/>
        </w:rPr>
        <w:t>.</w:t>
      </w:r>
    </w:p>
  </w:footnote>
  <w:footnote w:id="4">
    <w:p w:rsidR="00484816" w:rsidRPr="00490283" w:rsidRDefault="00484816" w:rsidP="00484816">
      <w:pPr>
        <w:pStyle w:val="FootnoteText"/>
        <w:rPr>
          <w:rFonts w:ascii="Times New Roman" w:hAnsi="Times New Roman"/>
          <w:sz w:val="20"/>
          <w:szCs w:val="20"/>
        </w:rPr>
      </w:pPr>
      <w:r w:rsidRPr="00490283">
        <w:rPr>
          <w:rStyle w:val="FootnoteReference"/>
          <w:rFonts w:ascii="Times New Roman" w:hAnsi="Times New Roman"/>
          <w:sz w:val="20"/>
          <w:szCs w:val="20"/>
        </w:rPr>
        <w:footnoteRef/>
      </w:r>
      <w:r w:rsidRPr="00490283">
        <w:rPr>
          <w:rFonts w:ascii="Times New Roman" w:hAnsi="Times New Roman"/>
          <w:sz w:val="20"/>
          <w:szCs w:val="20"/>
        </w:rPr>
        <w:t xml:space="preserve"> </w:t>
      </w:r>
      <w:proofErr w:type="gramStart"/>
      <w:r w:rsidRPr="00490283">
        <w:rPr>
          <w:rFonts w:ascii="Times New Roman" w:eastAsia="Times New Roman" w:hAnsi="Times New Roman" w:cs="Times New Roman"/>
          <w:i/>
          <w:sz w:val="20"/>
          <w:szCs w:val="20"/>
        </w:rPr>
        <w:t xml:space="preserve">Stewart v. 104 Wallace Street, Inc., </w:t>
      </w:r>
      <w:r w:rsidRPr="00490283">
        <w:rPr>
          <w:rFonts w:ascii="Times New Roman" w:eastAsia="Times New Roman" w:hAnsi="Times New Roman" w:cs="Times New Roman"/>
          <w:sz w:val="20"/>
          <w:szCs w:val="20"/>
        </w:rPr>
        <w:t>87 N.J. 146, 151 (1981).</w:t>
      </w:r>
      <w:proofErr w:type="gramEnd"/>
    </w:p>
  </w:footnote>
  <w:footnote w:id="5">
    <w:p w:rsidR="00484816" w:rsidRPr="007412CA" w:rsidRDefault="00484816" w:rsidP="00484816">
      <w:pPr>
        <w:pStyle w:val="FootnoteText"/>
      </w:pPr>
      <w:r w:rsidRPr="00490283">
        <w:rPr>
          <w:rStyle w:val="FootnoteReference"/>
          <w:rFonts w:ascii="Times New Roman" w:hAnsi="Times New Roman"/>
          <w:sz w:val="20"/>
          <w:szCs w:val="20"/>
        </w:rPr>
        <w:footnoteRef/>
      </w:r>
      <w:r w:rsidRPr="00490283">
        <w:rPr>
          <w:rFonts w:ascii="Times New Roman" w:hAnsi="Times New Roman"/>
          <w:sz w:val="20"/>
          <w:szCs w:val="20"/>
        </w:rPr>
        <w:t xml:space="preserve"> </w:t>
      </w:r>
      <w:proofErr w:type="spellStart"/>
      <w:proofErr w:type="gramStart"/>
      <w:r w:rsidRPr="00490283">
        <w:rPr>
          <w:rFonts w:ascii="Times New Roman" w:eastAsia="Times New Roman" w:hAnsi="Times New Roman" w:cs="Times New Roman"/>
          <w:i/>
          <w:sz w:val="20"/>
          <w:szCs w:val="20"/>
        </w:rPr>
        <w:t>Luchejko</w:t>
      </w:r>
      <w:proofErr w:type="spellEnd"/>
      <w:r w:rsidRPr="00490283">
        <w:rPr>
          <w:rFonts w:ascii="Times New Roman" w:eastAsia="Times New Roman" w:hAnsi="Times New Roman" w:cs="Times New Roman"/>
          <w:i/>
          <w:sz w:val="20"/>
          <w:szCs w:val="20"/>
        </w:rPr>
        <w:t xml:space="preserve"> v. </w:t>
      </w:r>
      <w:proofErr w:type="spellStart"/>
      <w:r w:rsidRPr="00490283">
        <w:rPr>
          <w:rFonts w:ascii="Times New Roman" w:eastAsia="Times New Roman" w:hAnsi="Times New Roman" w:cs="Times New Roman"/>
          <w:i/>
          <w:sz w:val="20"/>
          <w:szCs w:val="20"/>
        </w:rPr>
        <w:t>Cty</w:t>
      </w:r>
      <w:proofErr w:type="spellEnd"/>
      <w:r w:rsidR="00496534">
        <w:rPr>
          <w:rFonts w:ascii="Times New Roman" w:eastAsia="Times New Roman" w:hAnsi="Times New Roman" w:cs="Times New Roman"/>
          <w:sz w:val="20"/>
          <w:szCs w:val="20"/>
        </w:rPr>
        <w:t>.</w:t>
      </w:r>
      <w:proofErr w:type="gramEnd"/>
      <w:r w:rsidRPr="00490283">
        <w:rPr>
          <w:rFonts w:ascii="Times New Roman" w:eastAsia="Times New Roman" w:hAnsi="Times New Roman" w:cs="Times New Roman"/>
          <w:i/>
          <w:sz w:val="20"/>
          <w:szCs w:val="20"/>
        </w:rPr>
        <w:t xml:space="preserve"> of Hoboken</w:t>
      </w:r>
      <w:r w:rsidRPr="00490283">
        <w:rPr>
          <w:rFonts w:ascii="Times New Roman" w:eastAsia="Times New Roman" w:hAnsi="Times New Roman" w:cs="Times New Roman"/>
          <w:sz w:val="20"/>
          <w:szCs w:val="20"/>
        </w:rPr>
        <w:t>, 207 N.J. 191, 216 (2011) (Long, J., dissenting).</w:t>
      </w:r>
    </w:p>
  </w:footnote>
  <w:footnote w:id="6">
    <w:p w:rsidR="00484816" w:rsidRPr="00490283" w:rsidRDefault="00484816" w:rsidP="00484816">
      <w:pPr>
        <w:pStyle w:val="FootnoteText"/>
        <w:rPr>
          <w:rFonts w:ascii="Times New Roman" w:hAnsi="Times New Roman"/>
          <w:sz w:val="20"/>
          <w:szCs w:val="20"/>
        </w:rPr>
      </w:pPr>
      <w:r w:rsidRPr="00490283">
        <w:rPr>
          <w:rStyle w:val="FootnoteReference"/>
          <w:rFonts w:ascii="Times New Roman" w:hAnsi="Times New Roman"/>
          <w:sz w:val="20"/>
          <w:szCs w:val="20"/>
        </w:rPr>
        <w:footnoteRef/>
      </w:r>
      <w:r w:rsidRPr="00490283">
        <w:rPr>
          <w:rFonts w:ascii="Times New Roman" w:hAnsi="Times New Roman"/>
          <w:sz w:val="20"/>
          <w:szCs w:val="20"/>
        </w:rPr>
        <w:t xml:space="preserve"> </w:t>
      </w:r>
      <w:proofErr w:type="gramStart"/>
      <w:r w:rsidRPr="00490283">
        <w:rPr>
          <w:rFonts w:ascii="Times New Roman" w:hAnsi="Times New Roman"/>
          <w:i/>
          <w:sz w:val="20"/>
          <w:szCs w:val="20"/>
        </w:rPr>
        <w:t>Id</w:t>
      </w:r>
      <w:r w:rsidRPr="00490283">
        <w:rPr>
          <w:rFonts w:ascii="Times New Roman" w:hAnsi="Times New Roman"/>
          <w:sz w:val="20"/>
          <w:szCs w:val="20"/>
        </w:rPr>
        <w:t>. at 149-50.</w:t>
      </w:r>
      <w:proofErr w:type="gramEnd"/>
    </w:p>
  </w:footnote>
  <w:footnote w:id="7">
    <w:p w:rsidR="00484816" w:rsidRPr="00484816" w:rsidRDefault="00484816" w:rsidP="00484816">
      <w:pPr>
        <w:pStyle w:val="FootnoteText"/>
        <w:rPr>
          <w:rFonts w:ascii="Times New Roman" w:hAnsi="Times New Roman"/>
          <w:sz w:val="20"/>
          <w:szCs w:val="20"/>
        </w:rPr>
      </w:pPr>
      <w:r w:rsidRPr="00484816">
        <w:rPr>
          <w:rStyle w:val="FootnoteReference"/>
          <w:rFonts w:ascii="Times New Roman" w:hAnsi="Times New Roman"/>
          <w:sz w:val="20"/>
          <w:szCs w:val="20"/>
        </w:rPr>
        <w:footnoteRef/>
      </w:r>
      <w:r w:rsidRPr="00484816">
        <w:rPr>
          <w:rFonts w:ascii="Times New Roman" w:hAnsi="Times New Roman"/>
          <w:sz w:val="20"/>
          <w:szCs w:val="20"/>
        </w:rPr>
        <w:t xml:space="preserve"> </w:t>
      </w:r>
      <w:proofErr w:type="gramStart"/>
      <w:r w:rsidRPr="00484816">
        <w:rPr>
          <w:rFonts w:ascii="Times New Roman" w:eastAsia="Times New Roman" w:hAnsi="Times New Roman" w:cs="Times New Roman"/>
          <w:i/>
          <w:sz w:val="20"/>
          <w:szCs w:val="20"/>
        </w:rPr>
        <w:t xml:space="preserve">Stewart, </w:t>
      </w:r>
      <w:r w:rsidRPr="00484816">
        <w:rPr>
          <w:rFonts w:ascii="Times New Roman" w:eastAsia="Times New Roman" w:hAnsi="Times New Roman" w:cs="Times New Roman"/>
          <w:sz w:val="20"/>
          <w:szCs w:val="20"/>
        </w:rPr>
        <w:t>87 N.J. 146, 151-52 (1981).</w:t>
      </w:r>
      <w:proofErr w:type="gramEnd"/>
    </w:p>
  </w:footnote>
  <w:footnote w:id="8">
    <w:p w:rsidR="00484816" w:rsidRPr="00484816" w:rsidRDefault="00484816" w:rsidP="00484816">
      <w:pPr>
        <w:pStyle w:val="FootnoteText"/>
        <w:rPr>
          <w:rFonts w:ascii="Times New Roman" w:hAnsi="Times New Roman"/>
          <w:sz w:val="20"/>
          <w:szCs w:val="20"/>
        </w:rPr>
      </w:pPr>
      <w:r w:rsidRPr="00484816">
        <w:rPr>
          <w:rStyle w:val="FootnoteReference"/>
          <w:rFonts w:ascii="Times New Roman" w:hAnsi="Times New Roman"/>
          <w:sz w:val="20"/>
          <w:szCs w:val="20"/>
        </w:rPr>
        <w:footnoteRef/>
      </w:r>
      <w:r w:rsidRPr="00484816">
        <w:rPr>
          <w:rFonts w:ascii="Times New Roman" w:hAnsi="Times New Roman"/>
          <w:sz w:val="20"/>
          <w:szCs w:val="20"/>
        </w:rPr>
        <w:t xml:space="preserve"> </w:t>
      </w:r>
      <w:proofErr w:type="spellStart"/>
      <w:proofErr w:type="gramStart"/>
      <w:r w:rsidRPr="00484816">
        <w:rPr>
          <w:rFonts w:ascii="Times New Roman" w:hAnsi="Times New Roman"/>
          <w:i/>
          <w:sz w:val="20"/>
          <w:szCs w:val="20"/>
        </w:rPr>
        <w:t>Mirza</w:t>
      </w:r>
      <w:proofErr w:type="spellEnd"/>
      <w:r w:rsidRPr="00484816">
        <w:rPr>
          <w:rFonts w:ascii="Times New Roman" w:hAnsi="Times New Roman"/>
          <w:i/>
          <w:sz w:val="20"/>
          <w:szCs w:val="20"/>
        </w:rPr>
        <w:t xml:space="preserve"> v. </w:t>
      </w:r>
      <w:proofErr w:type="spellStart"/>
      <w:r w:rsidRPr="00484816">
        <w:rPr>
          <w:rFonts w:ascii="Times New Roman" w:hAnsi="Times New Roman"/>
          <w:i/>
          <w:sz w:val="20"/>
          <w:szCs w:val="20"/>
        </w:rPr>
        <w:t>Filmore</w:t>
      </w:r>
      <w:proofErr w:type="spellEnd"/>
      <w:r w:rsidRPr="00484816">
        <w:rPr>
          <w:rFonts w:ascii="Times New Roman" w:hAnsi="Times New Roman"/>
          <w:i/>
          <w:sz w:val="20"/>
          <w:szCs w:val="20"/>
        </w:rPr>
        <w:t xml:space="preserve"> Corp</w:t>
      </w:r>
      <w:r w:rsidRPr="00484816">
        <w:rPr>
          <w:rFonts w:ascii="Times New Roman" w:hAnsi="Times New Roman"/>
          <w:sz w:val="20"/>
          <w:szCs w:val="20"/>
        </w:rPr>
        <w:t>., 92 N.J. 390, 395-96 (1983).</w:t>
      </w:r>
      <w:proofErr w:type="gramEnd"/>
    </w:p>
  </w:footnote>
  <w:footnote w:id="9">
    <w:p w:rsidR="00484816" w:rsidRPr="00484816" w:rsidRDefault="00484816" w:rsidP="00484816">
      <w:pPr>
        <w:pStyle w:val="FootnoteText"/>
        <w:rPr>
          <w:rFonts w:ascii="Times New Roman" w:hAnsi="Times New Roman"/>
          <w:sz w:val="20"/>
          <w:szCs w:val="20"/>
        </w:rPr>
      </w:pPr>
      <w:r w:rsidRPr="00484816">
        <w:rPr>
          <w:rStyle w:val="FootnoteReference"/>
          <w:rFonts w:ascii="Times New Roman" w:hAnsi="Times New Roman"/>
          <w:sz w:val="20"/>
          <w:szCs w:val="20"/>
        </w:rPr>
        <w:footnoteRef/>
      </w:r>
      <w:r w:rsidRPr="00484816">
        <w:rPr>
          <w:rFonts w:ascii="Times New Roman" w:hAnsi="Times New Roman"/>
          <w:sz w:val="20"/>
          <w:szCs w:val="20"/>
        </w:rPr>
        <w:t xml:space="preserve"> </w:t>
      </w:r>
      <w:proofErr w:type="spellStart"/>
      <w:r w:rsidRPr="00484816">
        <w:rPr>
          <w:rFonts w:ascii="Times New Roman" w:eastAsia="Times New Roman" w:hAnsi="Times New Roman" w:cs="Times New Roman"/>
          <w:i/>
          <w:sz w:val="20"/>
          <w:szCs w:val="20"/>
        </w:rPr>
        <w:t>Luchejko</w:t>
      </w:r>
      <w:proofErr w:type="spellEnd"/>
      <w:r w:rsidRPr="00484816">
        <w:rPr>
          <w:rFonts w:ascii="Times New Roman" w:eastAsia="Times New Roman" w:hAnsi="Times New Roman" w:cs="Times New Roman"/>
          <w:sz w:val="20"/>
          <w:szCs w:val="20"/>
        </w:rPr>
        <w:t>, 207 N.J. at 208.</w:t>
      </w:r>
    </w:p>
  </w:footnote>
  <w:footnote w:id="10">
    <w:p w:rsidR="00484816" w:rsidRPr="00484816" w:rsidRDefault="00484816" w:rsidP="00484816">
      <w:pPr>
        <w:pStyle w:val="FootnoteText"/>
        <w:rPr>
          <w:rFonts w:ascii="Times New Roman" w:hAnsi="Times New Roman"/>
          <w:sz w:val="20"/>
          <w:szCs w:val="20"/>
        </w:rPr>
      </w:pPr>
      <w:r w:rsidRPr="00484816">
        <w:rPr>
          <w:rStyle w:val="FootnoteReference"/>
          <w:rFonts w:ascii="Times New Roman" w:hAnsi="Times New Roman"/>
          <w:sz w:val="20"/>
          <w:szCs w:val="20"/>
        </w:rPr>
        <w:footnoteRef/>
      </w:r>
      <w:proofErr w:type="gramStart"/>
      <w:r w:rsidRPr="00484816">
        <w:rPr>
          <w:rFonts w:ascii="Times New Roman" w:eastAsia="Times New Roman" w:hAnsi="Times New Roman" w:cs="Times New Roman"/>
          <w:i/>
          <w:sz w:val="20"/>
          <w:szCs w:val="20"/>
        </w:rPr>
        <w:t>Id</w:t>
      </w:r>
      <w:r w:rsidRPr="00484816">
        <w:rPr>
          <w:rFonts w:ascii="Times New Roman" w:eastAsia="Times New Roman" w:hAnsi="Times New Roman" w:cs="Times New Roman"/>
          <w:sz w:val="20"/>
          <w:szCs w:val="20"/>
        </w:rPr>
        <w:t>. at 217 (Long, J., dissenting).</w:t>
      </w:r>
      <w:proofErr w:type="gramEnd"/>
    </w:p>
  </w:footnote>
  <w:footnote w:id="11">
    <w:p w:rsidR="006C1F05" w:rsidRPr="00484816" w:rsidRDefault="006C1F05" w:rsidP="006C1F05">
      <w:pPr>
        <w:pStyle w:val="FootnoteText"/>
        <w:rPr>
          <w:rFonts w:ascii="Times New Roman" w:hAnsi="Times New Roman"/>
          <w:i/>
          <w:sz w:val="20"/>
          <w:szCs w:val="20"/>
        </w:rPr>
      </w:pPr>
      <w:r w:rsidRPr="00484816">
        <w:rPr>
          <w:rStyle w:val="FootnoteReference"/>
          <w:rFonts w:ascii="Times New Roman" w:hAnsi="Times New Roman"/>
          <w:sz w:val="20"/>
          <w:szCs w:val="20"/>
        </w:rPr>
        <w:footnoteRef/>
      </w:r>
      <w:r w:rsidRPr="00484816">
        <w:rPr>
          <w:rFonts w:ascii="Times New Roman" w:eastAsia="Times New Roman" w:hAnsi="Times New Roman" w:cs="Times New Roman"/>
          <w:i/>
          <w:sz w:val="20"/>
          <w:szCs w:val="20"/>
        </w:rPr>
        <w:t>Id</w:t>
      </w:r>
      <w:r w:rsidRPr="00484816">
        <w:rPr>
          <w:rFonts w:ascii="Times New Roman" w:eastAsia="Times New Roman" w:hAnsi="Times New Roman" w:cs="Times New Roman"/>
          <w:sz w:val="20"/>
          <w:szCs w:val="20"/>
        </w:rPr>
        <w:t>.</w:t>
      </w:r>
    </w:p>
  </w:footnote>
  <w:footnote w:id="12">
    <w:p w:rsidR="00484816" w:rsidRPr="00484816" w:rsidRDefault="00484816" w:rsidP="00484816">
      <w:pPr>
        <w:pStyle w:val="FootnoteText"/>
        <w:rPr>
          <w:rFonts w:ascii="Times New Roman" w:hAnsi="Times New Roman"/>
          <w:i/>
          <w:sz w:val="20"/>
          <w:szCs w:val="20"/>
        </w:rPr>
      </w:pPr>
      <w:r w:rsidRPr="00484816">
        <w:rPr>
          <w:rStyle w:val="FootnoteReference"/>
          <w:rFonts w:ascii="Times New Roman" w:hAnsi="Times New Roman"/>
          <w:sz w:val="20"/>
          <w:szCs w:val="20"/>
        </w:rPr>
        <w:footnoteRef/>
      </w:r>
      <w:r w:rsidRPr="00484816">
        <w:rPr>
          <w:rFonts w:ascii="Times New Roman" w:eastAsia="Times New Roman" w:hAnsi="Times New Roman" w:cs="Times New Roman"/>
          <w:i/>
          <w:sz w:val="20"/>
          <w:szCs w:val="20"/>
        </w:rPr>
        <w:t>Id</w:t>
      </w:r>
      <w:r w:rsidRPr="00484816">
        <w:rPr>
          <w:rFonts w:ascii="Times New Roman" w:eastAsia="Times New Roman" w:hAnsi="Times New Roman" w:cs="Times New Roman"/>
          <w:sz w:val="20"/>
          <w:szCs w:val="20"/>
        </w:rPr>
        <w:t>.</w:t>
      </w:r>
    </w:p>
  </w:footnote>
  <w:footnote w:id="13">
    <w:p w:rsidR="00484816" w:rsidRPr="00484816" w:rsidRDefault="00484816" w:rsidP="00484816">
      <w:pPr>
        <w:pStyle w:val="FootnoteText"/>
        <w:rPr>
          <w:rFonts w:ascii="Times New Roman" w:hAnsi="Times New Roman"/>
          <w:sz w:val="20"/>
          <w:szCs w:val="20"/>
        </w:rPr>
      </w:pPr>
      <w:r w:rsidRPr="00484816">
        <w:rPr>
          <w:rStyle w:val="FootnoteReference"/>
          <w:rFonts w:ascii="Times New Roman" w:hAnsi="Times New Roman"/>
          <w:sz w:val="20"/>
          <w:szCs w:val="20"/>
        </w:rPr>
        <w:footnoteRef/>
      </w:r>
      <w:r w:rsidRPr="00484816">
        <w:rPr>
          <w:rFonts w:ascii="Times New Roman" w:hAnsi="Times New Roman"/>
          <w:sz w:val="20"/>
          <w:szCs w:val="20"/>
        </w:rPr>
        <w:t xml:space="preserve"> </w:t>
      </w:r>
      <w:proofErr w:type="gramStart"/>
      <w:r w:rsidRPr="00484816">
        <w:rPr>
          <w:rFonts w:ascii="Times New Roman" w:eastAsia="Times New Roman" w:hAnsi="Times New Roman" w:cs="Times New Roman"/>
          <w:i/>
          <w:sz w:val="20"/>
          <w:szCs w:val="20"/>
        </w:rPr>
        <w:t>Id</w:t>
      </w:r>
      <w:r w:rsidRPr="00484816">
        <w:rPr>
          <w:rFonts w:ascii="Times New Roman" w:eastAsia="Times New Roman" w:hAnsi="Times New Roman" w:cs="Times New Roman"/>
          <w:sz w:val="20"/>
          <w:szCs w:val="20"/>
        </w:rPr>
        <w:t>. at 217 (Long, J., dissenting).</w:t>
      </w:r>
      <w:proofErr w:type="gramEnd"/>
    </w:p>
  </w:footnote>
  <w:footnote w:id="14">
    <w:p w:rsidR="00484816" w:rsidRPr="008F09FB" w:rsidRDefault="00484816" w:rsidP="00484816">
      <w:pPr>
        <w:pStyle w:val="FootnoteText"/>
        <w:rPr>
          <w:i/>
        </w:rPr>
      </w:pPr>
      <w:r w:rsidRPr="00484816">
        <w:rPr>
          <w:rStyle w:val="FootnoteReference"/>
          <w:rFonts w:ascii="Times New Roman" w:hAnsi="Times New Roman"/>
          <w:sz w:val="20"/>
          <w:szCs w:val="20"/>
        </w:rPr>
        <w:footnoteRef/>
      </w:r>
      <w:r w:rsidRPr="00484816">
        <w:rPr>
          <w:rFonts w:ascii="Times New Roman" w:hAnsi="Times New Roman"/>
          <w:sz w:val="20"/>
          <w:szCs w:val="20"/>
        </w:rPr>
        <w:t xml:space="preserve"> </w:t>
      </w:r>
      <w:proofErr w:type="gramStart"/>
      <w:r w:rsidRPr="00484816">
        <w:rPr>
          <w:rFonts w:ascii="Times New Roman" w:eastAsia="Times New Roman" w:hAnsi="Times New Roman" w:cs="Times New Roman"/>
          <w:i/>
          <w:sz w:val="20"/>
          <w:szCs w:val="20"/>
        </w:rPr>
        <w:t>Id</w:t>
      </w:r>
      <w:r w:rsidRPr="00484816">
        <w:rPr>
          <w:rFonts w:ascii="Times New Roman" w:eastAsia="Times New Roman" w:hAnsi="Times New Roman" w:cs="Times New Roman"/>
          <w:sz w:val="20"/>
          <w:szCs w:val="20"/>
        </w:rPr>
        <w:t>. at 195</w:t>
      </w:r>
      <w:r>
        <w:rPr>
          <w:rFonts w:ascii="Times New Roman" w:eastAsia="Times New Roman" w:hAnsi="Times New Roman" w:cs="Times New Roman"/>
          <w:sz w:val="20"/>
          <w:szCs w:val="20"/>
        </w:rPr>
        <w:t>.</w:t>
      </w:r>
      <w:proofErr w:type="gramEnd"/>
    </w:p>
  </w:footnote>
  <w:footnote w:id="15">
    <w:p w:rsidR="00484816" w:rsidRPr="000D2B82" w:rsidRDefault="00484816" w:rsidP="00484816">
      <w:pPr>
        <w:pStyle w:val="Normal1"/>
        <w:widowControl w:val="0"/>
        <w:spacing w:after="0"/>
        <w:jc w:val="both"/>
        <w:rPr>
          <w:rFonts w:ascii="Times New Roman" w:eastAsia="Times New Roman" w:hAnsi="Times New Roman" w:cs="Times New Roman"/>
          <w:sz w:val="20"/>
          <w:szCs w:val="20"/>
        </w:rPr>
      </w:pPr>
      <w:r w:rsidRPr="000D2B82">
        <w:rPr>
          <w:rStyle w:val="FootnoteReference"/>
          <w:rFonts w:ascii="Times New Roman" w:hAnsi="Times New Roman"/>
          <w:sz w:val="20"/>
          <w:szCs w:val="20"/>
        </w:rPr>
        <w:footnoteRef/>
      </w:r>
      <w:r w:rsidRPr="000D2B82">
        <w:rPr>
          <w:rFonts w:ascii="Times New Roman" w:hAnsi="Times New Roman"/>
          <w:sz w:val="20"/>
          <w:szCs w:val="20"/>
        </w:rPr>
        <w:t xml:space="preserve"> </w:t>
      </w:r>
      <w:r w:rsidRPr="000D2B82">
        <w:rPr>
          <w:rFonts w:ascii="Times New Roman" w:hAnsi="Times New Roman"/>
          <w:i/>
          <w:sz w:val="20"/>
          <w:szCs w:val="20"/>
        </w:rPr>
        <w:t>Id</w:t>
      </w:r>
      <w:r w:rsidRPr="000D2B82">
        <w:rPr>
          <w:rFonts w:ascii="Times New Roman" w:hAnsi="Times New Roman"/>
          <w:sz w:val="20"/>
          <w:szCs w:val="20"/>
        </w:rPr>
        <w:t>.</w:t>
      </w:r>
    </w:p>
  </w:footnote>
  <w:footnote w:id="16">
    <w:p w:rsidR="00484816" w:rsidRPr="000D2B82" w:rsidRDefault="00484816" w:rsidP="00484816">
      <w:pPr>
        <w:pStyle w:val="FootnoteText"/>
        <w:rPr>
          <w:rFonts w:ascii="Times New Roman" w:hAnsi="Times New Roman"/>
          <w:sz w:val="20"/>
          <w:szCs w:val="20"/>
        </w:rPr>
      </w:pPr>
      <w:r w:rsidRPr="000D2B82">
        <w:rPr>
          <w:rStyle w:val="FootnoteReference"/>
          <w:rFonts w:ascii="Times New Roman" w:hAnsi="Times New Roman"/>
          <w:sz w:val="20"/>
          <w:szCs w:val="20"/>
        </w:rPr>
        <w:footnoteRef/>
      </w:r>
      <w:r w:rsidRPr="000D2B82">
        <w:rPr>
          <w:rFonts w:ascii="Times New Roman" w:hAnsi="Times New Roman"/>
          <w:sz w:val="20"/>
          <w:szCs w:val="20"/>
        </w:rPr>
        <w:t xml:space="preserve"> </w:t>
      </w:r>
      <w:proofErr w:type="gramStart"/>
      <w:r w:rsidRPr="000D2B82">
        <w:rPr>
          <w:rFonts w:ascii="Times New Roman" w:eastAsia="Times New Roman" w:hAnsi="Times New Roman" w:cs="Times New Roman"/>
          <w:i/>
          <w:sz w:val="20"/>
          <w:szCs w:val="20"/>
        </w:rPr>
        <w:t>Qian v. Toll Bros</w:t>
      </w:r>
      <w:r w:rsidRPr="000D2B82">
        <w:rPr>
          <w:rFonts w:ascii="Times New Roman" w:eastAsia="Times New Roman" w:hAnsi="Times New Roman" w:cs="Times New Roman"/>
          <w:sz w:val="20"/>
          <w:szCs w:val="20"/>
        </w:rPr>
        <w:t>., 223 N.J. 124</w:t>
      </w:r>
      <w:r>
        <w:rPr>
          <w:rFonts w:ascii="Times New Roman" w:eastAsia="Times New Roman" w:hAnsi="Times New Roman" w:cs="Times New Roman"/>
          <w:sz w:val="20"/>
          <w:szCs w:val="20"/>
        </w:rPr>
        <w:t>, 141-42</w:t>
      </w:r>
      <w:r w:rsidRPr="000D2B82">
        <w:rPr>
          <w:rFonts w:ascii="Times New Roman" w:eastAsia="Times New Roman" w:hAnsi="Times New Roman" w:cs="Times New Roman"/>
          <w:sz w:val="20"/>
          <w:szCs w:val="20"/>
        </w:rPr>
        <w:t xml:space="preserve"> (2015).</w:t>
      </w:r>
      <w:proofErr w:type="gramEnd"/>
    </w:p>
  </w:footnote>
  <w:footnote w:id="17">
    <w:p w:rsidR="00484816" w:rsidRPr="000D2B82" w:rsidRDefault="00484816" w:rsidP="00484816">
      <w:pPr>
        <w:pStyle w:val="FootnoteText"/>
        <w:spacing w:line="276" w:lineRule="auto"/>
        <w:rPr>
          <w:rFonts w:ascii="Times New Roman" w:hAnsi="Times New Roman"/>
          <w:sz w:val="20"/>
          <w:szCs w:val="20"/>
        </w:rPr>
      </w:pPr>
      <w:r w:rsidRPr="000D2B82">
        <w:rPr>
          <w:rStyle w:val="FootnoteReference"/>
          <w:rFonts w:ascii="Times New Roman" w:hAnsi="Times New Roman"/>
          <w:sz w:val="20"/>
          <w:szCs w:val="20"/>
        </w:rPr>
        <w:footnoteRef/>
      </w:r>
      <w:r w:rsidRPr="000D2B82">
        <w:rPr>
          <w:rFonts w:ascii="Times New Roman" w:hAnsi="Times New Roman"/>
          <w:sz w:val="20"/>
          <w:szCs w:val="20"/>
        </w:rPr>
        <w:t xml:space="preserve"> </w:t>
      </w:r>
      <w:proofErr w:type="gramStart"/>
      <w:r w:rsidRPr="000D2B82">
        <w:rPr>
          <w:rFonts w:ascii="Times New Roman" w:eastAsia="Times New Roman" w:hAnsi="Times New Roman" w:cs="Times New Roman"/>
          <w:i/>
          <w:sz w:val="20"/>
          <w:szCs w:val="20"/>
        </w:rPr>
        <w:t>Id</w:t>
      </w:r>
      <w:r w:rsidRPr="000D2B82">
        <w:rPr>
          <w:rFonts w:ascii="Times New Roman" w:eastAsia="Times New Roman" w:hAnsi="Times New Roman" w:cs="Times New Roman"/>
          <w:sz w:val="20"/>
          <w:szCs w:val="20"/>
        </w:rPr>
        <w:t xml:space="preserve">. at </w:t>
      </w:r>
      <w:r>
        <w:rPr>
          <w:rFonts w:ascii="Times New Roman" w:eastAsia="Times New Roman" w:hAnsi="Times New Roman" w:cs="Times New Roman"/>
          <w:sz w:val="20"/>
          <w:szCs w:val="20"/>
        </w:rPr>
        <w:t>142.</w:t>
      </w:r>
      <w:proofErr w:type="gramEnd"/>
    </w:p>
  </w:footnote>
  <w:footnote w:id="18">
    <w:p w:rsidR="00484816" w:rsidRPr="000D2B82" w:rsidRDefault="00484816" w:rsidP="00484816">
      <w:pPr>
        <w:pStyle w:val="FootnoteText"/>
        <w:spacing w:line="276" w:lineRule="auto"/>
        <w:rPr>
          <w:rFonts w:ascii="Times New Roman" w:hAnsi="Times New Roman"/>
          <w:sz w:val="20"/>
          <w:szCs w:val="20"/>
        </w:rPr>
      </w:pPr>
      <w:r w:rsidRPr="000D2B82">
        <w:rPr>
          <w:rStyle w:val="FootnoteReference"/>
          <w:rFonts w:ascii="Times New Roman" w:hAnsi="Times New Roman"/>
          <w:sz w:val="20"/>
          <w:szCs w:val="20"/>
        </w:rPr>
        <w:footnoteRef/>
      </w:r>
      <w:r w:rsidRPr="000D2B82">
        <w:rPr>
          <w:rFonts w:ascii="Times New Roman" w:hAnsi="Times New Roman"/>
          <w:sz w:val="20"/>
          <w:szCs w:val="20"/>
        </w:rPr>
        <w:t xml:space="preserve"> </w:t>
      </w:r>
      <w:r w:rsidRPr="000D2B82">
        <w:rPr>
          <w:rFonts w:ascii="Times New Roman" w:eastAsia="Times New Roman" w:hAnsi="Times New Roman" w:cs="Times New Roman"/>
          <w:i/>
          <w:sz w:val="20"/>
          <w:szCs w:val="20"/>
        </w:rPr>
        <w:t>Zheng v. Santos</w:t>
      </w:r>
      <w:r w:rsidRPr="000D2B82">
        <w:rPr>
          <w:rFonts w:ascii="Times New Roman" w:eastAsia="Times New Roman" w:hAnsi="Times New Roman" w:cs="Times New Roman"/>
          <w:sz w:val="20"/>
          <w:szCs w:val="20"/>
        </w:rPr>
        <w:t xml:space="preserve">, 2014 WL 7896546 (App. Div. Feb. 23, 2015); </w:t>
      </w:r>
      <w:r w:rsidRPr="000D2B82">
        <w:rPr>
          <w:rFonts w:ascii="Times New Roman" w:eastAsia="Times New Roman" w:hAnsi="Times New Roman" w:cs="Times New Roman"/>
          <w:i/>
          <w:sz w:val="20"/>
          <w:szCs w:val="20"/>
        </w:rPr>
        <w:t>see also Smith v. Young</w:t>
      </w:r>
      <w:r w:rsidRPr="000D2B82">
        <w:rPr>
          <w:rFonts w:ascii="Times New Roman" w:eastAsia="Times New Roman" w:hAnsi="Times New Roman" w:cs="Times New Roman"/>
          <w:sz w:val="20"/>
          <w:szCs w:val="20"/>
        </w:rPr>
        <w:t>, 300 N.J. Super. 82 (App. Div. 1997) (calling for clarification of the statute).</w:t>
      </w:r>
    </w:p>
  </w:footnote>
  <w:footnote w:id="19">
    <w:p w:rsidR="00484816" w:rsidRPr="000D2B82" w:rsidRDefault="00484816" w:rsidP="00484816">
      <w:pPr>
        <w:pStyle w:val="FootnoteText"/>
        <w:spacing w:line="276" w:lineRule="auto"/>
        <w:rPr>
          <w:rFonts w:ascii="Times New Roman" w:hAnsi="Times New Roman"/>
          <w:sz w:val="20"/>
          <w:szCs w:val="20"/>
        </w:rPr>
      </w:pPr>
      <w:r w:rsidRPr="000D2B82">
        <w:rPr>
          <w:rStyle w:val="FootnoteReference"/>
          <w:rFonts w:ascii="Times New Roman" w:hAnsi="Times New Roman"/>
          <w:sz w:val="20"/>
          <w:szCs w:val="20"/>
        </w:rPr>
        <w:footnoteRef/>
      </w:r>
      <w:r w:rsidRPr="000D2B82">
        <w:rPr>
          <w:rFonts w:ascii="Times New Roman" w:hAnsi="Times New Roman"/>
          <w:sz w:val="20"/>
          <w:szCs w:val="20"/>
        </w:rPr>
        <w:t xml:space="preserve"> </w:t>
      </w:r>
      <w:r w:rsidRPr="000D2B82">
        <w:rPr>
          <w:rFonts w:ascii="Times New Roman" w:hAnsi="Times New Roman"/>
          <w:smallCaps/>
          <w:sz w:val="20"/>
          <w:szCs w:val="20"/>
        </w:rPr>
        <w:t>N.J. Stat. Ann.</w:t>
      </w:r>
      <w:r w:rsidRPr="000D2B82">
        <w:rPr>
          <w:rFonts w:ascii="Times New Roman" w:hAnsi="Times New Roman"/>
          <w:sz w:val="20"/>
          <w:szCs w:val="20"/>
        </w:rPr>
        <w:t xml:space="preserve"> </w:t>
      </w:r>
      <w:r w:rsidRPr="000D2B82">
        <w:rPr>
          <w:rFonts w:ascii="Times New Roman" w:eastAsia="Times New Roman" w:hAnsi="Times New Roman" w:cs="Times New Roman"/>
          <w:sz w:val="20"/>
          <w:szCs w:val="20"/>
        </w:rPr>
        <w:t>2A:18-</w:t>
      </w:r>
      <w:proofErr w:type="gramStart"/>
      <w:r w:rsidRPr="000D2B82">
        <w:rPr>
          <w:rFonts w:ascii="Times New Roman" w:eastAsia="Times New Roman" w:hAnsi="Times New Roman" w:cs="Times New Roman"/>
          <w:sz w:val="20"/>
          <w:szCs w:val="20"/>
        </w:rPr>
        <w:t>61.1  to</w:t>
      </w:r>
      <w:proofErr w:type="gramEnd"/>
      <w:r w:rsidRPr="000D2B82">
        <w:rPr>
          <w:rFonts w:ascii="Times New Roman" w:eastAsia="Times New Roman" w:hAnsi="Times New Roman" w:cs="Times New Roman"/>
          <w:sz w:val="20"/>
          <w:szCs w:val="20"/>
        </w:rPr>
        <w:t xml:space="preserve"> -.12 (West 2016). </w:t>
      </w:r>
    </w:p>
  </w:footnote>
  <w:footnote w:id="20">
    <w:p w:rsidR="00484816" w:rsidRPr="000D2B82" w:rsidRDefault="00484816" w:rsidP="00484816">
      <w:pPr>
        <w:pStyle w:val="FootnoteText"/>
        <w:spacing w:line="276" w:lineRule="auto"/>
        <w:rPr>
          <w:rFonts w:ascii="Times New Roman" w:hAnsi="Times New Roman"/>
          <w:sz w:val="20"/>
          <w:szCs w:val="20"/>
        </w:rPr>
      </w:pPr>
      <w:r w:rsidRPr="000D2B82">
        <w:rPr>
          <w:rStyle w:val="FootnoteReference"/>
          <w:rFonts w:ascii="Times New Roman" w:hAnsi="Times New Roman"/>
          <w:sz w:val="20"/>
          <w:szCs w:val="20"/>
        </w:rPr>
        <w:footnoteRef/>
      </w:r>
      <w:r w:rsidRPr="000D2B82">
        <w:rPr>
          <w:rFonts w:ascii="Times New Roman" w:hAnsi="Times New Roman"/>
          <w:sz w:val="20"/>
          <w:szCs w:val="20"/>
        </w:rPr>
        <w:t xml:space="preserve"> </w:t>
      </w:r>
      <w:r w:rsidRPr="000D2B82">
        <w:rPr>
          <w:rFonts w:ascii="Times New Roman" w:eastAsia="Times New Roman" w:hAnsi="Times New Roman" w:cs="Times New Roman"/>
          <w:i/>
          <w:sz w:val="20"/>
          <w:szCs w:val="20"/>
        </w:rPr>
        <w:t>Id</w:t>
      </w:r>
      <w:r w:rsidRPr="000D2B82">
        <w:rPr>
          <w:rFonts w:ascii="Times New Roman" w:eastAsia="Times New Roman" w:hAnsi="Times New Roman" w:cs="Times New Roman"/>
          <w:sz w:val="20"/>
          <w:szCs w:val="20"/>
        </w:rPr>
        <w:t>.</w:t>
      </w:r>
    </w:p>
  </w:footnote>
  <w:footnote w:id="21">
    <w:p w:rsidR="00484816" w:rsidRPr="000D2B82" w:rsidRDefault="00484816" w:rsidP="00484816">
      <w:pPr>
        <w:rPr>
          <w:rFonts w:ascii="Times New Roman" w:eastAsia="Times New Roman" w:hAnsi="Times New Roman" w:cs="Times New Roman"/>
          <w:color w:val="auto"/>
          <w:sz w:val="20"/>
          <w:szCs w:val="20"/>
        </w:rPr>
      </w:pPr>
      <w:r w:rsidRPr="000D2B82">
        <w:rPr>
          <w:rStyle w:val="FootnoteReference"/>
          <w:rFonts w:ascii="Times New Roman" w:hAnsi="Times New Roman"/>
          <w:sz w:val="20"/>
          <w:szCs w:val="20"/>
        </w:rPr>
        <w:footnoteRef/>
      </w:r>
      <w:r w:rsidRPr="000D2B82">
        <w:rPr>
          <w:rFonts w:ascii="Times New Roman" w:hAnsi="Times New Roman"/>
          <w:sz w:val="20"/>
          <w:szCs w:val="20"/>
        </w:rPr>
        <w:t xml:space="preserve"> Burke, Donald, Jr., </w:t>
      </w:r>
      <w:r w:rsidRPr="000D2B82">
        <w:rPr>
          <w:rFonts w:ascii="Times New Roman" w:eastAsia="Times New Roman" w:hAnsi="Times New Roman" w:cs="Times New Roman"/>
          <w:smallCaps/>
          <w:color w:val="auto"/>
          <w:sz w:val="20"/>
          <w:szCs w:val="20"/>
        </w:rPr>
        <w:t xml:space="preserve">Slipping Through The Cracks: The Shoddy State of New Jersey Sidewalk and Liability Law Cries Out For Repair, 36 </w:t>
      </w:r>
      <w:r w:rsidRPr="000D2B82">
        <w:rPr>
          <w:rFonts w:ascii="Times New Roman" w:hAnsi="Times New Roman"/>
          <w:sz w:val="20"/>
          <w:szCs w:val="20"/>
        </w:rPr>
        <w:t>Seton Hall Legis. J. 226, 267 (2012).</w:t>
      </w:r>
    </w:p>
    <w:p w:rsidR="00484816" w:rsidRPr="00ED0180" w:rsidRDefault="00484816" w:rsidP="00484816">
      <w:pPr>
        <w:pStyle w:val="FootnoteText"/>
        <w:spacing w:line="276" w:lineRule="auto"/>
        <w:rPr>
          <w:rFonts w:ascii="Times New Roman" w:hAnsi="Times New Roman"/>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67452"/>
    <w:multiLevelType w:val="hybridMultilevel"/>
    <w:tmpl w:val="4BF8C66E"/>
    <w:lvl w:ilvl="0" w:tplc="8EC83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16"/>
    <w:rsid w:val="00484816"/>
    <w:rsid w:val="00496534"/>
    <w:rsid w:val="004B2C65"/>
    <w:rsid w:val="006C1F05"/>
    <w:rsid w:val="008C60E0"/>
    <w:rsid w:val="009C2D5B"/>
    <w:rsid w:val="00AC2576"/>
    <w:rsid w:val="00D442CA"/>
    <w:rsid w:val="00F7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16"/>
    <w:pPr>
      <w:spacing w:after="200" w:line="276" w:lineRule="auto"/>
    </w:pPr>
    <w:rPr>
      <w:rFonts w:ascii="Cambria" w:eastAsia="Cambria" w:hAnsi="Cambria" w:cs="Cambri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4816"/>
    <w:pPr>
      <w:spacing w:after="200" w:line="276" w:lineRule="auto"/>
    </w:pPr>
    <w:rPr>
      <w:rFonts w:ascii="Cambria" w:eastAsia="Cambria" w:hAnsi="Cambria" w:cs="Cambria"/>
      <w:color w:val="000000"/>
      <w:sz w:val="22"/>
      <w:szCs w:val="22"/>
    </w:rPr>
  </w:style>
  <w:style w:type="paragraph" w:styleId="ListParagraph">
    <w:name w:val="List Paragraph"/>
    <w:basedOn w:val="Normal"/>
    <w:uiPriority w:val="34"/>
    <w:qFormat/>
    <w:rsid w:val="00484816"/>
    <w:pPr>
      <w:ind w:left="720"/>
      <w:contextualSpacing/>
    </w:pPr>
  </w:style>
  <w:style w:type="paragraph" w:styleId="FootnoteText">
    <w:name w:val="footnote text"/>
    <w:basedOn w:val="Normal"/>
    <w:link w:val="FootnoteTextChar"/>
    <w:uiPriority w:val="99"/>
    <w:unhideWhenUsed/>
    <w:rsid w:val="00484816"/>
    <w:pPr>
      <w:spacing w:after="0" w:line="240" w:lineRule="auto"/>
    </w:pPr>
    <w:rPr>
      <w:sz w:val="24"/>
      <w:szCs w:val="24"/>
    </w:rPr>
  </w:style>
  <w:style w:type="character" w:customStyle="1" w:styleId="FootnoteTextChar">
    <w:name w:val="Footnote Text Char"/>
    <w:basedOn w:val="DefaultParagraphFont"/>
    <w:link w:val="FootnoteText"/>
    <w:uiPriority w:val="99"/>
    <w:rsid w:val="00484816"/>
    <w:rPr>
      <w:rFonts w:ascii="Cambria" w:eastAsia="Cambria" w:hAnsi="Cambria" w:cs="Cambria"/>
      <w:color w:val="000000"/>
    </w:rPr>
  </w:style>
  <w:style w:type="character" w:styleId="FootnoteReference">
    <w:name w:val="footnote reference"/>
    <w:basedOn w:val="DefaultParagraphFont"/>
    <w:uiPriority w:val="99"/>
    <w:unhideWhenUsed/>
    <w:rsid w:val="00484816"/>
    <w:rPr>
      <w:vertAlign w:val="superscript"/>
    </w:rPr>
  </w:style>
  <w:style w:type="paragraph" w:styleId="BalloonText">
    <w:name w:val="Balloon Text"/>
    <w:basedOn w:val="Normal"/>
    <w:link w:val="BalloonTextChar"/>
    <w:uiPriority w:val="99"/>
    <w:semiHidden/>
    <w:unhideWhenUsed/>
    <w:rsid w:val="006C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05"/>
    <w:rPr>
      <w:rFonts w:ascii="Tahoma" w:eastAsia="Cambri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816"/>
    <w:pPr>
      <w:spacing w:after="200" w:line="276" w:lineRule="auto"/>
    </w:pPr>
    <w:rPr>
      <w:rFonts w:ascii="Cambria" w:eastAsia="Cambria" w:hAnsi="Cambria" w:cs="Cambria"/>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84816"/>
    <w:pPr>
      <w:spacing w:after="200" w:line="276" w:lineRule="auto"/>
    </w:pPr>
    <w:rPr>
      <w:rFonts w:ascii="Cambria" w:eastAsia="Cambria" w:hAnsi="Cambria" w:cs="Cambria"/>
      <w:color w:val="000000"/>
      <w:sz w:val="22"/>
      <w:szCs w:val="22"/>
    </w:rPr>
  </w:style>
  <w:style w:type="paragraph" w:styleId="ListParagraph">
    <w:name w:val="List Paragraph"/>
    <w:basedOn w:val="Normal"/>
    <w:uiPriority w:val="34"/>
    <w:qFormat/>
    <w:rsid w:val="00484816"/>
    <w:pPr>
      <w:ind w:left="720"/>
      <w:contextualSpacing/>
    </w:pPr>
  </w:style>
  <w:style w:type="paragraph" w:styleId="FootnoteText">
    <w:name w:val="footnote text"/>
    <w:basedOn w:val="Normal"/>
    <w:link w:val="FootnoteTextChar"/>
    <w:uiPriority w:val="99"/>
    <w:unhideWhenUsed/>
    <w:rsid w:val="00484816"/>
    <w:pPr>
      <w:spacing w:after="0" w:line="240" w:lineRule="auto"/>
    </w:pPr>
    <w:rPr>
      <w:sz w:val="24"/>
      <w:szCs w:val="24"/>
    </w:rPr>
  </w:style>
  <w:style w:type="character" w:customStyle="1" w:styleId="FootnoteTextChar">
    <w:name w:val="Footnote Text Char"/>
    <w:basedOn w:val="DefaultParagraphFont"/>
    <w:link w:val="FootnoteText"/>
    <w:uiPriority w:val="99"/>
    <w:rsid w:val="00484816"/>
    <w:rPr>
      <w:rFonts w:ascii="Cambria" w:eastAsia="Cambria" w:hAnsi="Cambria" w:cs="Cambria"/>
      <w:color w:val="000000"/>
    </w:rPr>
  </w:style>
  <w:style w:type="character" w:styleId="FootnoteReference">
    <w:name w:val="footnote reference"/>
    <w:basedOn w:val="DefaultParagraphFont"/>
    <w:uiPriority w:val="99"/>
    <w:unhideWhenUsed/>
    <w:rsid w:val="00484816"/>
    <w:rPr>
      <w:vertAlign w:val="superscript"/>
    </w:rPr>
  </w:style>
  <w:style w:type="paragraph" w:styleId="BalloonText">
    <w:name w:val="Balloon Text"/>
    <w:basedOn w:val="Normal"/>
    <w:link w:val="BalloonTextChar"/>
    <w:uiPriority w:val="99"/>
    <w:semiHidden/>
    <w:unhideWhenUsed/>
    <w:rsid w:val="006C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F05"/>
    <w:rPr>
      <w:rFonts w:ascii="Tahoma" w:eastAsia="Cambri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Johnson</dc:creator>
  <cp:lastModifiedBy>Jayne Johnson</cp:lastModifiedBy>
  <cp:revision>4</cp:revision>
  <cp:lastPrinted>2016-06-16T17:26:00Z</cp:lastPrinted>
  <dcterms:created xsi:type="dcterms:W3CDTF">2016-06-16T18:42:00Z</dcterms:created>
  <dcterms:modified xsi:type="dcterms:W3CDTF">2016-11-23T22:01:00Z</dcterms:modified>
</cp:coreProperties>
</file>