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617E8" w14:textId="0AAEF0AD" w:rsidR="009D412E" w:rsidRPr="00193776" w:rsidRDefault="00EE07F6" w:rsidP="00EE07F6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193776">
        <w:rPr>
          <w:rFonts w:ascii="Times New Roman" w:hAnsi="Times New Roman" w:cs="Times New Roman"/>
          <w:b/>
          <w:sz w:val="24"/>
        </w:rPr>
        <w:t>To:</w:t>
      </w:r>
      <w:r w:rsidRPr="00193776">
        <w:rPr>
          <w:rFonts w:ascii="Times New Roman" w:hAnsi="Times New Roman" w:cs="Times New Roman"/>
          <w:b/>
          <w:sz w:val="24"/>
        </w:rPr>
        <w:tab/>
      </w:r>
      <w:r w:rsidR="00193776" w:rsidRPr="00193776">
        <w:rPr>
          <w:rFonts w:ascii="Times New Roman" w:hAnsi="Times New Roman" w:cs="Times New Roman"/>
          <w:b/>
          <w:sz w:val="24"/>
        </w:rPr>
        <w:t>New Jersey Law Revision Commission</w:t>
      </w:r>
    </w:p>
    <w:p w14:paraId="543FDDFF" w14:textId="7453C12F" w:rsidR="00EE07F6" w:rsidRPr="00193776" w:rsidRDefault="00EE07F6" w:rsidP="00EE07F6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193776">
        <w:rPr>
          <w:rFonts w:ascii="Times New Roman" w:hAnsi="Times New Roman" w:cs="Times New Roman"/>
          <w:b/>
          <w:sz w:val="24"/>
        </w:rPr>
        <w:t>From:</w:t>
      </w:r>
      <w:r w:rsidRPr="00193776">
        <w:rPr>
          <w:rFonts w:ascii="Times New Roman" w:hAnsi="Times New Roman" w:cs="Times New Roman"/>
          <w:b/>
          <w:sz w:val="24"/>
        </w:rPr>
        <w:tab/>
        <w:t>Samuel M. Silver</w:t>
      </w:r>
    </w:p>
    <w:p w14:paraId="31345AC0" w14:textId="4C0F7779" w:rsidR="00EE07F6" w:rsidRPr="00193776" w:rsidRDefault="00EE07F6" w:rsidP="00EE07F6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193776">
        <w:rPr>
          <w:rFonts w:ascii="Times New Roman" w:hAnsi="Times New Roman" w:cs="Times New Roman"/>
          <w:b/>
          <w:sz w:val="24"/>
        </w:rPr>
        <w:t>Re.:</w:t>
      </w:r>
      <w:r w:rsidRPr="00193776">
        <w:rPr>
          <w:rFonts w:ascii="Times New Roman" w:hAnsi="Times New Roman" w:cs="Times New Roman"/>
          <w:b/>
          <w:sz w:val="24"/>
        </w:rPr>
        <w:tab/>
      </w:r>
      <w:r w:rsidR="00073540">
        <w:rPr>
          <w:rFonts w:ascii="Times New Roman" w:hAnsi="Times New Roman" w:cs="Times New Roman"/>
          <w:b/>
          <w:sz w:val="24"/>
        </w:rPr>
        <w:t>Subp</w:t>
      </w:r>
      <w:r w:rsidR="00AA6A04">
        <w:rPr>
          <w:rFonts w:ascii="Times New Roman" w:hAnsi="Times New Roman" w:cs="Times New Roman"/>
          <w:b/>
          <w:sz w:val="24"/>
        </w:rPr>
        <w:t>o</w:t>
      </w:r>
      <w:r w:rsidR="00073540">
        <w:rPr>
          <w:rFonts w:ascii="Times New Roman" w:hAnsi="Times New Roman" w:cs="Times New Roman"/>
          <w:b/>
          <w:sz w:val="24"/>
        </w:rPr>
        <w:t>ena v. Subpena</w:t>
      </w:r>
      <w:bookmarkStart w:id="0" w:name="_GoBack"/>
      <w:bookmarkEnd w:id="0"/>
    </w:p>
    <w:p w14:paraId="408A4CCB" w14:textId="190A4811" w:rsidR="00EE07F6" w:rsidRPr="00EE07F6" w:rsidRDefault="00EE07F6" w:rsidP="00EE07F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93776">
        <w:rPr>
          <w:rFonts w:ascii="Times New Roman" w:hAnsi="Times New Roman" w:cs="Times New Roman"/>
          <w:b/>
          <w:sz w:val="24"/>
        </w:rPr>
        <w:t>Date:</w:t>
      </w:r>
      <w:r w:rsidRPr="00193776">
        <w:rPr>
          <w:rFonts w:ascii="Times New Roman" w:hAnsi="Times New Roman" w:cs="Times New Roman"/>
          <w:b/>
          <w:sz w:val="24"/>
        </w:rPr>
        <w:tab/>
      </w:r>
      <w:r w:rsidR="00073540">
        <w:rPr>
          <w:rFonts w:ascii="Times New Roman" w:hAnsi="Times New Roman" w:cs="Times New Roman"/>
          <w:b/>
          <w:sz w:val="24"/>
        </w:rPr>
        <w:t>June 0</w:t>
      </w:r>
      <w:r w:rsidR="000E02A4">
        <w:rPr>
          <w:rFonts w:ascii="Times New Roman" w:hAnsi="Times New Roman" w:cs="Times New Roman"/>
          <w:b/>
          <w:sz w:val="24"/>
        </w:rPr>
        <w:t>5</w:t>
      </w:r>
      <w:r w:rsidR="00EE4208" w:rsidRPr="00193776">
        <w:rPr>
          <w:rFonts w:ascii="Times New Roman" w:hAnsi="Times New Roman" w:cs="Times New Roman"/>
          <w:b/>
          <w:sz w:val="24"/>
        </w:rPr>
        <w:t>, 2017</w:t>
      </w:r>
    </w:p>
    <w:p w14:paraId="14B0E7CF" w14:textId="77777777" w:rsidR="00EE07F6" w:rsidRPr="00EE07F6" w:rsidRDefault="00EE07F6" w:rsidP="00EE07F6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8FFBE93" w14:textId="77777777" w:rsidR="00EE07F6" w:rsidRDefault="00EE07F6" w:rsidP="00EE0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E07F6">
        <w:rPr>
          <w:rFonts w:ascii="Times New Roman" w:hAnsi="Times New Roman" w:cs="Times New Roman"/>
          <w:b/>
          <w:sz w:val="24"/>
        </w:rPr>
        <w:t>MEMORANDUM</w:t>
      </w:r>
    </w:p>
    <w:p w14:paraId="763ED45B" w14:textId="77777777" w:rsidR="00EE07F6" w:rsidRDefault="00EE07F6" w:rsidP="00EE0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029E0A43" w14:textId="4F8424F1" w:rsidR="00A67B85" w:rsidRPr="00A67B85" w:rsidRDefault="00A67B85" w:rsidP="00A67B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67B85">
        <w:rPr>
          <w:rFonts w:ascii="Times New Roman" w:hAnsi="Times New Roman" w:cs="Times New Roman"/>
          <w:b/>
          <w:sz w:val="24"/>
        </w:rPr>
        <w:t>Executive Summary</w:t>
      </w:r>
    </w:p>
    <w:p w14:paraId="03FC6CDB" w14:textId="77777777" w:rsidR="00A67B85" w:rsidRDefault="00A67B85" w:rsidP="000078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</w:p>
    <w:p w14:paraId="7EC48350" w14:textId="4C063874" w:rsidR="00763179" w:rsidRPr="002D570D" w:rsidRDefault="00073540" w:rsidP="00750CE8">
      <w:pPr>
        <w:spacing w:after="0"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D570D">
        <w:rPr>
          <w:rFonts w:ascii="Times New Roman" w:hAnsi="Times New Roman" w:cs="Times New Roman"/>
          <w:sz w:val="24"/>
          <w:szCs w:val="24"/>
        </w:rPr>
        <w:t>Staff ha</w:t>
      </w:r>
      <w:r w:rsidR="000E02A4">
        <w:rPr>
          <w:rFonts w:ascii="Times New Roman" w:hAnsi="Times New Roman" w:cs="Times New Roman"/>
          <w:sz w:val="24"/>
          <w:szCs w:val="24"/>
        </w:rPr>
        <w:t>s</w:t>
      </w:r>
      <w:r w:rsidRPr="002D570D">
        <w:rPr>
          <w:rFonts w:ascii="Times New Roman" w:hAnsi="Times New Roman" w:cs="Times New Roman"/>
          <w:sz w:val="24"/>
          <w:szCs w:val="24"/>
        </w:rPr>
        <w:t xml:space="preserve"> been review</w:t>
      </w:r>
      <w:r w:rsidR="000E02A4">
        <w:rPr>
          <w:rFonts w:ascii="Times New Roman" w:hAnsi="Times New Roman" w:cs="Times New Roman"/>
          <w:sz w:val="24"/>
          <w:szCs w:val="24"/>
        </w:rPr>
        <w:t>ing the</w:t>
      </w:r>
      <w:r w:rsidRPr="002D570D">
        <w:rPr>
          <w:rFonts w:ascii="Times New Roman" w:hAnsi="Times New Roman" w:cs="Times New Roman"/>
          <w:sz w:val="24"/>
          <w:szCs w:val="24"/>
        </w:rPr>
        <w:t xml:space="preserve"> Alternative Procedure for Dispute Resolution Act</w:t>
      </w:r>
      <w:r w:rsidRPr="002D570D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Pr="002D570D">
        <w:rPr>
          <w:rFonts w:ascii="Times New Roman" w:hAnsi="Times New Roman" w:cs="Times New Roman"/>
          <w:sz w:val="24"/>
          <w:szCs w:val="24"/>
        </w:rPr>
        <w:t xml:space="preserve"> (APDRA) in connection with the decision of the New Jersey Appellate Division in </w:t>
      </w:r>
      <w:r w:rsidRPr="002D570D">
        <w:rPr>
          <w:rFonts w:ascii="Times New Roman" w:hAnsi="Times New Roman"/>
          <w:i/>
          <w:sz w:val="24"/>
          <w:szCs w:val="24"/>
        </w:rPr>
        <w:t>Citizens United Reciprocal Exch. v. N. NJ Orthopedic Specialists</w:t>
      </w:r>
      <w:r w:rsidRPr="002D570D">
        <w:rPr>
          <w:rFonts w:ascii="Times New Roman" w:hAnsi="Times New Roman"/>
          <w:sz w:val="24"/>
          <w:szCs w:val="24"/>
        </w:rPr>
        <w:t>.</w:t>
      </w:r>
      <w:r w:rsidR="00763179" w:rsidRPr="002D570D">
        <w:rPr>
          <w:rStyle w:val="FootnoteReference"/>
          <w:rFonts w:ascii="Times New Roman" w:hAnsi="Times New Roman"/>
          <w:sz w:val="24"/>
          <w:szCs w:val="24"/>
        </w:rPr>
        <w:t xml:space="preserve"> </w:t>
      </w:r>
      <w:r w:rsidR="00763179" w:rsidRPr="002D570D">
        <w:rPr>
          <w:rStyle w:val="FootnoteReference"/>
          <w:rFonts w:ascii="Times New Roman" w:hAnsi="Times New Roman"/>
          <w:sz w:val="24"/>
          <w:szCs w:val="24"/>
        </w:rPr>
        <w:footnoteReference w:id="2"/>
      </w:r>
      <w:r w:rsidRPr="002D570D">
        <w:rPr>
          <w:rFonts w:ascii="Times New Roman" w:hAnsi="Times New Roman"/>
          <w:sz w:val="24"/>
          <w:szCs w:val="24"/>
        </w:rPr>
        <w:t xml:space="preserve"> </w:t>
      </w:r>
      <w:r w:rsidR="00763179" w:rsidRPr="002D570D">
        <w:rPr>
          <w:rFonts w:ascii="Times New Roman" w:hAnsi="Times New Roman"/>
          <w:sz w:val="24"/>
          <w:szCs w:val="24"/>
        </w:rPr>
        <w:t xml:space="preserve">An examination of the statutes </w:t>
      </w:r>
      <w:r w:rsidR="00314D58" w:rsidRPr="002D570D">
        <w:rPr>
          <w:rFonts w:ascii="Times New Roman" w:hAnsi="Times New Roman"/>
          <w:sz w:val="24"/>
          <w:szCs w:val="24"/>
        </w:rPr>
        <w:t xml:space="preserve">revealed that </w:t>
      </w:r>
      <w:r w:rsidR="00763179" w:rsidRPr="002D570D">
        <w:rPr>
          <w:rFonts w:ascii="Times New Roman" w:hAnsi="Times New Roman"/>
          <w:sz w:val="24"/>
          <w:szCs w:val="24"/>
        </w:rPr>
        <w:t xml:space="preserve">the </w:t>
      </w:r>
      <w:r w:rsidR="00314D58" w:rsidRPr="002D570D">
        <w:rPr>
          <w:rFonts w:ascii="Times New Roman" w:hAnsi="Times New Roman"/>
          <w:sz w:val="24"/>
          <w:szCs w:val="24"/>
        </w:rPr>
        <w:t xml:space="preserve">statute utilizes two different spellings of the word subpoena, often in the same code section. </w:t>
      </w:r>
    </w:p>
    <w:p w14:paraId="6BD04D9B" w14:textId="77777777" w:rsidR="00763179" w:rsidRPr="002D570D" w:rsidRDefault="00763179" w:rsidP="0000789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3597E852" w14:textId="4A9FE479" w:rsidR="00763179" w:rsidRPr="002D570D" w:rsidRDefault="00314D58" w:rsidP="00750C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570D">
        <w:rPr>
          <w:rFonts w:ascii="Times New Roman" w:hAnsi="Times New Roman"/>
          <w:b/>
          <w:sz w:val="24"/>
          <w:szCs w:val="24"/>
        </w:rPr>
        <w:t>APDRA</w:t>
      </w:r>
    </w:p>
    <w:p w14:paraId="1FB874B2" w14:textId="77777777" w:rsidR="00763179" w:rsidRPr="002D570D" w:rsidRDefault="00763179" w:rsidP="0000789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24734541" w14:textId="28FF9CE5" w:rsidR="00314D58" w:rsidRPr="002D570D" w:rsidRDefault="00073540" w:rsidP="00750CE8">
      <w:pPr>
        <w:spacing w:after="0"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D570D">
        <w:rPr>
          <w:rFonts w:ascii="Times New Roman" w:hAnsi="Times New Roman"/>
          <w:sz w:val="24"/>
          <w:szCs w:val="24"/>
        </w:rPr>
        <w:t>Among the statut</w:t>
      </w:r>
      <w:r w:rsidR="00750CE8">
        <w:rPr>
          <w:rFonts w:ascii="Times New Roman" w:hAnsi="Times New Roman"/>
          <w:sz w:val="24"/>
          <w:szCs w:val="24"/>
        </w:rPr>
        <w:t>ory sections</w:t>
      </w:r>
      <w:r w:rsidRPr="002D570D">
        <w:rPr>
          <w:rFonts w:ascii="Times New Roman" w:hAnsi="Times New Roman"/>
          <w:sz w:val="24"/>
          <w:szCs w:val="24"/>
        </w:rPr>
        <w:t xml:space="preserve"> that make up APDRA is a section that </w:t>
      </w:r>
      <w:r w:rsidR="00763179" w:rsidRPr="002D570D">
        <w:rPr>
          <w:rFonts w:ascii="Times New Roman" w:hAnsi="Times New Roman"/>
          <w:sz w:val="24"/>
          <w:szCs w:val="24"/>
        </w:rPr>
        <w:t>permits an umpire</w:t>
      </w:r>
      <w:r w:rsidR="00F45F9F" w:rsidRPr="002D570D">
        <w:rPr>
          <w:rFonts w:ascii="Times New Roman" w:hAnsi="Times New Roman"/>
          <w:sz w:val="24"/>
          <w:szCs w:val="24"/>
        </w:rPr>
        <w:t xml:space="preserve">, in a contract action, </w:t>
      </w:r>
      <w:r w:rsidR="00763179" w:rsidRPr="002D570D">
        <w:rPr>
          <w:rFonts w:ascii="Times New Roman" w:hAnsi="Times New Roman"/>
          <w:sz w:val="24"/>
          <w:szCs w:val="24"/>
        </w:rPr>
        <w:t xml:space="preserve">to issue a writ ordering a person to testify before a court of </w:t>
      </w:r>
      <w:proofErr w:type="gramStart"/>
      <w:r w:rsidR="00763179" w:rsidRPr="002D570D">
        <w:rPr>
          <w:rFonts w:ascii="Times New Roman" w:hAnsi="Times New Roman"/>
          <w:sz w:val="24"/>
          <w:szCs w:val="24"/>
        </w:rPr>
        <w:t>record.</w:t>
      </w:r>
      <w:proofErr w:type="gramEnd"/>
      <w:r w:rsidR="00763179" w:rsidRPr="002D570D">
        <w:rPr>
          <w:rStyle w:val="FootnoteReference"/>
          <w:rFonts w:ascii="Times New Roman" w:hAnsi="Times New Roman"/>
          <w:sz w:val="24"/>
          <w:szCs w:val="24"/>
        </w:rPr>
        <w:footnoteReference w:id="3"/>
      </w:r>
      <w:r w:rsidR="00763179" w:rsidRPr="002D570D">
        <w:rPr>
          <w:rFonts w:ascii="Times New Roman" w:hAnsi="Times New Roman"/>
          <w:sz w:val="24"/>
          <w:szCs w:val="24"/>
        </w:rPr>
        <w:t xml:space="preserve"> This section is entitled, “Hearings; Multiple Umpires; witnesses and books or instruments; </w:t>
      </w:r>
      <w:proofErr w:type="spellStart"/>
      <w:r w:rsidR="00763179" w:rsidRPr="002D570D">
        <w:rPr>
          <w:rFonts w:ascii="Times New Roman" w:hAnsi="Times New Roman"/>
          <w:sz w:val="24"/>
          <w:szCs w:val="24"/>
          <w:u w:val="single"/>
        </w:rPr>
        <w:t>subpenas</w:t>
      </w:r>
      <w:proofErr w:type="spellEnd"/>
      <w:r w:rsidR="00763179" w:rsidRPr="002D570D">
        <w:rPr>
          <w:rFonts w:ascii="Times New Roman" w:hAnsi="Times New Roman"/>
          <w:sz w:val="24"/>
          <w:szCs w:val="24"/>
        </w:rPr>
        <w:t>; rules of evidence; factual and legal contentions; expert evidence; conduct of hearing.”</w:t>
      </w:r>
      <w:r w:rsidR="00763179" w:rsidRPr="002D570D">
        <w:rPr>
          <w:rStyle w:val="FootnoteReference"/>
          <w:rFonts w:ascii="Times New Roman" w:hAnsi="Times New Roman"/>
          <w:sz w:val="24"/>
          <w:szCs w:val="24"/>
        </w:rPr>
        <w:footnoteReference w:id="4"/>
      </w:r>
      <w:r w:rsidR="00763179" w:rsidRPr="002D570D">
        <w:rPr>
          <w:rFonts w:ascii="Times New Roman" w:hAnsi="Times New Roman"/>
          <w:sz w:val="24"/>
          <w:szCs w:val="24"/>
        </w:rPr>
        <w:t xml:space="preserve"> </w:t>
      </w:r>
      <w:r w:rsidR="00314D58" w:rsidRPr="002D570D">
        <w:rPr>
          <w:rFonts w:ascii="Times New Roman" w:hAnsi="Times New Roman"/>
          <w:sz w:val="24"/>
          <w:szCs w:val="24"/>
        </w:rPr>
        <w:t>The section setting forth the authority to issue such a writ is subsection c. Th</w:t>
      </w:r>
      <w:r w:rsidR="00750CE8">
        <w:rPr>
          <w:rFonts w:ascii="Times New Roman" w:hAnsi="Times New Roman"/>
          <w:sz w:val="24"/>
          <w:szCs w:val="24"/>
        </w:rPr>
        <w:t>at</w:t>
      </w:r>
      <w:r w:rsidR="00314D58" w:rsidRPr="002D570D">
        <w:rPr>
          <w:rFonts w:ascii="Times New Roman" w:hAnsi="Times New Roman"/>
          <w:sz w:val="24"/>
          <w:szCs w:val="24"/>
        </w:rPr>
        <w:t xml:space="preserve"> subsection provides,</w:t>
      </w:r>
    </w:p>
    <w:p w14:paraId="33CB9056" w14:textId="77777777" w:rsidR="00314D58" w:rsidRPr="002D570D" w:rsidRDefault="00314D58" w:rsidP="00750CE8">
      <w:pPr>
        <w:spacing w:after="0"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6EA925BA" w14:textId="2C776E74" w:rsidR="00314D58" w:rsidRPr="002D570D" w:rsidRDefault="00314D58" w:rsidP="00750CE8">
      <w:pPr>
        <w:widowControl w:val="0"/>
        <w:autoSpaceDE w:val="0"/>
        <w:autoSpaceDN w:val="0"/>
        <w:adjustRightInd w:val="0"/>
        <w:spacing w:after="0" w:line="276" w:lineRule="auto"/>
        <w:ind w:left="1440" w:right="1440"/>
        <w:jc w:val="both"/>
        <w:rPr>
          <w:rFonts w:ascii="Times New Roman" w:hAnsi="Times New Roman"/>
          <w:color w:val="000000"/>
          <w:sz w:val="24"/>
          <w:szCs w:val="24"/>
        </w:rPr>
      </w:pPr>
      <w:r w:rsidRPr="002D570D">
        <w:rPr>
          <w:rFonts w:ascii="Times New Roman" w:hAnsi="Times New Roman"/>
          <w:color w:val="000000"/>
          <w:sz w:val="24"/>
          <w:szCs w:val="24"/>
          <w:u w:val="single"/>
        </w:rPr>
        <w:t>Subpoenas</w:t>
      </w:r>
      <w:r w:rsidRPr="002D570D">
        <w:rPr>
          <w:rFonts w:ascii="Times New Roman" w:hAnsi="Times New Roman"/>
          <w:color w:val="000000"/>
          <w:sz w:val="24"/>
          <w:szCs w:val="24"/>
        </w:rPr>
        <w:t xml:space="preserve"> shall issue in the name of and be signed by the umpire, or if there is more than one umpire, by a majority of them, and shall be directed to the person therein named and served in the same manner as a </w:t>
      </w:r>
      <w:r w:rsidRPr="002D570D">
        <w:rPr>
          <w:rFonts w:ascii="Times New Roman" w:hAnsi="Times New Roman"/>
          <w:color w:val="000000"/>
          <w:sz w:val="24"/>
          <w:szCs w:val="24"/>
          <w:u w:val="single"/>
        </w:rPr>
        <w:t>subpoena</w:t>
      </w:r>
      <w:r w:rsidRPr="002D570D">
        <w:rPr>
          <w:rFonts w:ascii="Times New Roman" w:hAnsi="Times New Roman"/>
          <w:color w:val="000000"/>
          <w:sz w:val="24"/>
          <w:szCs w:val="24"/>
        </w:rPr>
        <w:t xml:space="preserve"> to testify before a court of record. If a person </w:t>
      </w:r>
      <w:r w:rsidRPr="002D570D">
        <w:rPr>
          <w:rFonts w:ascii="Times New Roman" w:hAnsi="Times New Roman"/>
          <w:color w:val="000000"/>
          <w:sz w:val="24"/>
          <w:szCs w:val="24"/>
          <w:u w:val="single"/>
        </w:rPr>
        <w:t>subpoenaed</w:t>
      </w:r>
      <w:r w:rsidRPr="002D570D">
        <w:rPr>
          <w:rFonts w:ascii="Times New Roman" w:hAnsi="Times New Roman"/>
          <w:color w:val="000000"/>
          <w:sz w:val="24"/>
          <w:szCs w:val="24"/>
        </w:rPr>
        <w:t xml:space="preserve"> to testify refuses or neglects to obey a </w:t>
      </w:r>
      <w:proofErr w:type="gramStart"/>
      <w:r w:rsidRPr="002D570D">
        <w:rPr>
          <w:rFonts w:ascii="Times New Roman" w:hAnsi="Times New Roman"/>
          <w:color w:val="000000"/>
          <w:sz w:val="24"/>
          <w:szCs w:val="24"/>
          <w:u w:val="single"/>
        </w:rPr>
        <w:t>subpoena</w:t>
      </w:r>
      <w:proofErr w:type="gramEnd"/>
      <w:r w:rsidRPr="002D570D">
        <w:rPr>
          <w:rFonts w:ascii="Times New Roman" w:hAnsi="Times New Roman"/>
          <w:color w:val="000000"/>
          <w:sz w:val="24"/>
          <w:szCs w:val="24"/>
        </w:rPr>
        <w:t xml:space="preserve">, the Superior Court, upon application, may compel his attendance before the umpire or hold the person in contempt as if the person had failed to respond to a </w:t>
      </w:r>
      <w:r w:rsidRPr="002D570D">
        <w:rPr>
          <w:rFonts w:ascii="Times New Roman" w:hAnsi="Times New Roman"/>
          <w:color w:val="000000"/>
          <w:sz w:val="24"/>
          <w:szCs w:val="24"/>
          <w:u w:val="single"/>
        </w:rPr>
        <w:t>subpoena</w:t>
      </w:r>
      <w:r w:rsidRPr="002D570D">
        <w:rPr>
          <w:rFonts w:ascii="Times New Roman" w:hAnsi="Times New Roman"/>
          <w:color w:val="000000"/>
          <w:sz w:val="24"/>
          <w:szCs w:val="24"/>
        </w:rPr>
        <w:t xml:space="preserve"> issued by the court.</w:t>
      </w:r>
      <w:r w:rsidR="00DD4BBA" w:rsidRPr="002D570D">
        <w:rPr>
          <w:rFonts w:ascii="Times New Roman" w:hAnsi="Times New Roman"/>
          <w:color w:val="000000"/>
          <w:sz w:val="24"/>
          <w:szCs w:val="24"/>
        </w:rPr>
        <w:t xml:space="preserve"> (Emphasis added).</w:t>
      </w:r>
    </w:p>
    <w:p w14:paraId="7DE204B5" w14:textId="77777777" w:rsidR="00314D58" w:rsidRPr="002D570D" w:rsidRDefault="00314D58" w:rsidP="00750CE8">
      <w:pPr>
        <w:spacing w:after="0"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28013D27" w14:textId="4D70D4FF" w:rsidR="00F45F9F" w:rsidRPr="002D570D" w:rsidRDefault="00314D58" w:rsidP="00750CE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D570D">
        <w:rPr>
          <w:rFonts w:ascii="Times New Roman" w:hAnsi="Times New Roman"/>
          <w:sz w:val="24"/>
          <w:szCs w:val="24"/>
        </w:rPr>
        <w:t xml:space="preserve">Each of the five references to the word subpoena </w:t>
      </w:r>
      <w:proofErr w:type="gramStart"/>
      <w:r w:rsidRPr="002D570D">
        <w:rPr>
          <w:rFonts w:ascii="Times New Roman" w:hAnsi="Times New Roman"/>
          <w:sz w:val="24"/>
          <w:szCs w:val="24"/>
        </w:rPr>
        <w:t>differ</w:t>
      </w:r>
      <w:proofErr w:type="gramEnd"/>
      <w:r w:rsidRPr="002D570D">
        <w:rPr>
          <w:rFonts w:ascii="Times New Roman" w:hAnsi="Times New Roman"/>
          <w:sz w:val="24"/>
          <w:szCs w:val="24"/>
        </w:rPr>
        <w:t xml:space="preserve"> from the designated statutory heading. </w:t>
      </w:r>
      <w:r w:rsidR="00F45F9F" w:rsidRPr="002D570D">
        <w:rPr>
          <w:rFonts w:ascii="Times New Roman" w:hAnsi="Times New Roman"/>
          <w:sz w:val="24"/>
          <w:szCs w:val="24"/>
        </w:rPr>
        <w:t xml:space="preserve">This is not the only section of APDRA dealing with the issuance of a subpoena. </w:t>
      </w:r>
      <w:r w:rsidR="00750CE8">
        <w:rPr>
          <w:rFonts w:ascii="Times New Roman" w:hAnsi="Times New Roman"/>
          <w:sz w:val="24"/>
          <w:szCs w:val="24"/>
        </w:rPr>
        <w:t xml:space="preserve">And, although Staff recognizes that the titles of the statutory sections are not enacted, a preliminary review revealed differences in spelling of the word within the statutory text as well. </w:t>
      </w:r>
    </w:p>
    <w:p w14:paraId="07FBCA51" w14:textId="77777777" w:rsidR="00F45F9F" w:rsidRPr="002D570D" w:rsidRDefault="00F45F9F" w:rsidP="00750CE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4B511D9F" w14:textId="46C8D607" w:rsidR="00F45F9F" w:rsidRPr="002D570D" w:rsidRDefault="00F45F9F" w:rsidP="00750CE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D570D">
        <w:rPr>
          <w:rFonts w:ascii="Times New Roman" w:hAnsi="Times New Roman"/>
          <w:sz w:val="24"/>
          <w:szCs w:val="24"/>
        </w:rPr>
        <w:lastRenderedPageBreak/>
        <w:tab/>
        <w:t>An arbitrator or a party to a personal injury action may issue a subpoena.</w:t>
      </w:r>
      <w:r w:rsidRPr="002D570D">
        <w:rPr>
          <w:rStyle w:val="FootnoteReference"/>
          <w:rFonts w:ascii="Times New Roman" w:hAnsi="Times New Roman"/>
          <w:sz w:val="24"/>
          <w:szCs w:val="24"/>
        </w:rPr>
        <w:footnoteReference w:id="5"/>
      </w:r>
      <w:r w:rsidR="00314D58" w:rsidRPr="002D570D">
        <w:rPr>
          <w:rFonts w:ascii="Times New Roman" w:hAnsi="Times New Roman"/>
          <w:sz w:val="24"/>
          <w:szCs w:val="24"/>
        </w:rPr>
        <w:t xml:space="preserve"> </w:t>
      </w:r>
      <w:r w:rsidRPr="002D570D">
        <w:rPr>
          <w:rFonts w:ascii="Times New Roman" w:hAnsi="Times New Roman"/>
          <w:sz w:val="24"/>
          <w:szCs w:val="24"/>
        </w:rPr>
        <w:t>Th</w:t>
      </w:r>
      <w:r w:rsidR="00750CE8">
        <w:rPr>
          <w:rFonts w:ascii="Times New Roman" w:hAnsi="Times New Roman"/>
          <w:sz w:val="24"/>
          <w:szCs w:val="24"/>
        </w:rPr>
        <w:t xml:space="preserve">e relevant </w:t>
      </w:r>
      <w:r w:rsidRPr="002D570D">
        <w:rPr>
          <w:rFonts w:ascii="Times New Roman" w:hAnsi="Times New Roman"/>
          <w:sz w:val="24"/>
          <w:szCs w:val="24"/>
        </w:rPr>
        <w:t xml:space="preserve">section of APDRA </w:t>
      </w:r>
      <w:r w:rsidR="00750CE8">
        <w:rPr>
          <w:rFonts w:ascii="Times New Roman" w:hAnsi="Times New Roman"/>
          <w:sz w:val="24"/>
          <w:szCs w:val="24"/>
        </w:rPr>
        <w:t xml:space="preserve">concerning that issue </w:t>
      </w:r>
      <w:r w:rsidRPr="002D570D">
        <w:rPr>
          <w:rFonts w:ascii="Times New Roman" w:hAnsi="Times New Roman"/>
          <w:sz w:val="24"/>
          <w:szCs w:val="24"/>
        </w:rPr>
        <w:t>is entitled “</w:t>
      </w:r>
      <w:proofErr w:type="spellStart"/>
      <w:r w:rsidRPr="002D570D">
        <w:rPr>
          <w:rFonts w:ascii="Times New Roman" w:hAnsi="Times New Roman"/>
          <w:sz w:val="24"/>
          <w:szCs w:val="24"/>
        </w:rPr>
        <w:t>Subpena</w:t>
      </w:r>
      <w:proofErr w:type="spellEnd"/>
      <w:r w:rsidRPr="002D570D">
        <w:rPr>
          <w:rFonts w:ascii="Times New Roman" w:hAnsi="Times New Roman"/>
          <w:sz w:val="24"/>
          <w:szCs w:val="24"/>
        </w:rPr>
        <w:t>.”  Th</w:t>
      </w:r>
      <w:r w:rsidR="00750CE8">
        <w:rPr>
          <w:rFonts w:ascii="Times New Roman" w:hAnsi="Times New Roman"/>
          <w:sz w:val="24"/>
          <w:szCs w:val="24"/>
        </w:rPr>
        <w:t>e</w:t>
      </w:r>
      <w:r w:rsidRPr="002D570D">
        <w:rPr>
          <w:rFonts w:ascii="Times New Roman" w:hAnsi="Times New Roman"/>
          <w:sz w:val="24"/>
          <w:szCs w:val="24"/>
        </w:rPr>
        <w:t xml:space="preserve"> statutory section provides,</w:t>
      </w:r>
    </w:p>
    <w:p w14:paraId="2B204488" w14:textId="77777777" w:rsidR="00F45F9F" w:rsidRPr="002D570D" w:rsidRDefault="00F45F9F" w:rsidP="00750CE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53786C0C" w14:textId="7CD51175" w:rsidR="00F45F9F" w:rsidRPr="002D570D" w:rsidRDefault="00F45F9F" w:rsidP="00750CE8">
      <w:pPr>
        <w:widowControl w:val="0"/>
        <w:autoSpaceDE w:val="0"/>
        <w:autoSpaceDN w:val="0"/>
        <w:adjustRightInd w:val="0"/>
        <w:spacing w:after="0" w:line="276" w:lineRule="auto"/>
        <w:ind w:left="1440" w:right="1440"/>
        <w:jc w:val="both"/>
        <w:rPr>
          <w:rFonts w:ascii="Times New Roman" w:hAnsi="Times New Roman"/>
          <w:color w:val="000000"/>
          <w:sz w:val="24"/>
          <w:szCs w:val="24"/>
        </w:rPr>
      </w:pPr>
      <w:r w:rsidRPr="002D570D">
        <w:rPr>
          <w:rFonts w:ascii="Times New Roman" w:hAnsi="Times New Roman"/>
          <w:color w:val="000000"/>
          <w:sz w:val="24"/>
          <w:szCs w:val="24"/>
        </w:rPr>
        <w:t xml:space="preserve">The arbitrators may, at their initiative or at the request of any party to the arbitrators, issue </w:t>
      </w:r>
      <w:proofErr w:type="spellStart"/>
      <w:r w:rsidRPr="002D570D">
        <w:rPr>
          <w:rFonts w:ascii="Times New Roman" w:hAnsi="Times New Roman"/>
          <w:color w:val="000000"/>
          <w:sz w:val="24"/>
          <w:szCs w:val="24"/>
          <w:u w:val="single"/>
        </w:rPr>
        <w:t>subpena</w:t>
      </w:r>
      <w:proofErr w:type="spellEnd"/>
      <w:r w:rsidRPr="002D570D">
        <w:rPr>
          <w:rFonts w:ascii="Times New Roman" w:hAnsi="Times New Roman"/>
          <w:color w:val="000000"/>
          <w:sz w:val="24"/>
          <w:szCs w:val="24"/>
        </w:rPr>
        <w:t xml:space="preserve"> for the attendance of witnesses and the production of books, records, documents and other evidence. </w:t>
      </w:r>
      <w:proofErr w:type="spellStart"/>
      <w:proofErr w:type="gramStart"/>
      <w:r w:rsidRPr="002D570D">
        <w:rPr>
          <w:rFonts w:ascii="Times New Roman" w:hAnsi="Times New Roman"/>
          <w:color w:val="000000"/>
          <w:sz w:val="24"/>
          <w:szCs w:val="24"/>
          <w:u w:val="single"/>
        </w:rPr>
        <w:t>subpena</w:t>
      </w:r>
      <w:proofErr w:type="spellEnd"/>
      <w:proofErr w:type="gramEnd"/>
      <w:r w:rsidRPr="002D570D">
        <w:rPr>
          <w:rFonts w:ascii="Times New Roman" w:hAnsi="Times New Roman"/>
          <w:color w:val="000000"/>
          <w:sz w:val="24"/>
          <w:szCs w:val="24"/>
        </w:rPr>
        <w:t xml:space="preserve"> shall be served and shall be enforceable in the manner provided by law.</w:t>
      </w:r>
      <w:r w:rsidR="00DD4BBA" w:rsidRPr="002D570D">
        <w:rPr>
          <w:rFonts w:ascii="Times New Roman" w:hAnsi="Times New Roman"/>
          <w:color w:val="000000"/>
          <w:sz w:val="24"/>
          <w:szCs w:val="24"/>
        </w:rPr>
        <w:t xml:space="preserve"> (Emphasis added).</w:t>
      </w:r>
    </w:p>
    <w:p w14:paraId="1A89864D" w14:textId="77777777" w:rsidR="00DD4BBA" w:rsidRPr="002D570D" w:rsidRDefault="00DD4BBA" w:rsidP="00750CE8">
      <w:pPr>
        <w:widowControl w:val="0"/>
        <w:autoSpaceDE w:val="0"/>
        <w:autoSpaceDN w:val="0"/>
        <w:adjustRightInd w:val="0"/>
        <w:spacing w:after="0" w:line="276" w:lineRule="auto"/>
        <w:ind w:right="144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8F1E621" w14:textId="421F0D29" w:rsidR="00DD4BBA" w:rsidRPr="002D570D" w:rsidRDefault="006E3F46" w:rsidP="006E3F4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DD4BBA" w:rsidRPr="002D570D">
        <w:rPr>
          <w:rFonts w:ascii="Times New Roman" w:hAnsi="Times New Roman"/>
          <w:color w:val="000000"/>
          <w:sz w:val="24"/>
          <w:szCs w:val="24"/>
        </w:rPr>
        <w:t>Th</w:t>
      </w:r>
      <w:r w:rsidR="00750CE8">
        <w:rPr>
          <w:rFonts w:ascii="Times New Roman" w:hAnsi="Times New Roman"/>
          <w:color w:val="000000"/>
          <w:sz w:val="24"/>
          <w:szCs w:val="24"/>
        </w:rPr>
        <w:t>us, the</w:t>
      </w:r>
      <w:r w:rsidR="00DD4BBA" w:rsidRPr="002D570D">
        <w:rPr>
          <w:rFonts w:ascii="Times New Roman" w:hAnsi="Times New Roman"/>
          <w:color w:val="000000"/>
          <w:sz w:val="24"/>
          <w:szCs w:val="24"/>
        </w:rPr>
        <w:t xml:space="preserve"> spelling of the word subpoena differ</w:t>
      </w:r>
      <w:r w:rsidR="00750CE8">
        <w:rPr>
          <w:rFonts w:ascii="Times New Roman" w:hAnsi="Times New Roman"/>
          <w:color w:val="000000"/>
          <w:sz w:val="24"/>
          <w:szCs w:val="24"/>
        </w:rPr>
        <w:t>s</w:t>
      </w:r>
      <w:r w:rsidR="00DD4BBA" w:rsidRPr="002D570D">
        <w:rPr>
          <w:rFonts w:ascii="Times New Roman" w:hAnsi="Times New Roman"/>
          <w:color w:val="000000"/>
          <w:sz w:val="24"/>
          <w:szCs w:val="24"/>
        </w:rPr>
        <w:t xml:space="preserve"> within the </w:t>
      </w:r>
      <w:r w:rsidR="00750CE8">
        <w:rPr>
          <w:rFonts w:ascii="Times New Roman" w:hAnsi="Times New Roman"/>
          <w:color w:val="000000"/>
          <w:sz w:val="24"/>
          <w:szCs w:val="24"/>
        </w:rPr>
        <w:t>context of the single act</w:t>
      </w:r>
      <w:r w:rsidR="00DD4BBA" w:rsidRPr="002D570D">
        <w:rPr>
          <w:rFonts w:ascii="Times New Roman" w:hAnsi="Times New Roman"/>
          <w:color w:val="000000"/>
          <w:sz w:val="24"/>
          <w:szCs w:val="24"/>
        </w:rPr>
        <w:t xml:space="preserve">. A cursory </w:t>
      </w:r>
      <w:r w:rsidR="00190ADB" w:rsidRPr="002D570D">
        <w:rPr>
          <w:rFonts w:ascii="Times New Roman" w:hAnsi="Times New Roman"/>
          <w:color w:val="000000"/>
          <w:sz w:val="24"/>
          <w:szCs w:val="24"/>
        </w:rPr>
        <w:t xml:space="preserve">statutory search </w:t>
      </w:r>
      <w:r w:rsidR="00DD4BBA" w:rsidRPr="002D570D">
        <w:rPr>
          <w:rFonts w:ascii="Times New Roman" w:hAnsi="Times New Roman"/>
          <w:color w:val="000000"/>
          <w:sz w:val="24"/>
          <w:szCs w:val="24"/>
        </w:rPr>
        <w:t>co</w:t>
      </w:r>
      <w:r w:rsidR="00190ADB" w:rsidRPr="002D570D">
        <w:rPr>
          <w:rFonts w:ascii="Times New Roman" w:hAnsi="Times New Roman"/>
          <w:color w:val="000000"/>
          <w:sz w:val="24"/>
          <w:szCs w:val="24"/>
        </w:rPr>
        <w:t>nfirmed that this phenomenon is not limited to the APDRA statute.</w:t>
      </w:r>
      <w:r w:rsidR="00190ADB" w:rsidRPr="002D570D">
        <w:rPr>
          <w:rStyle w:val="FootnoteReference"/>
          <w:rFonts w:ascii="Times New Roman" w:hAnsi="Times New Roman"/>
          <w:color w:val="000000"/>
          <w:sz w:val="24"/>
          <w:szCs w:val="24"/>
        </w:rPr>
        <w:footnoteReference w:id="6"/>
      </w:r>
      <w:r w:rsidR="00190ADB" w:rsidRPr="002D570D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14:paraId="07354875" w14:textId="77777777" w:rsidR="00F45F9F" w:rsidRPr="002D570D" w:rsidRDefault="00F45F9F" w:rsidP="00F45F9F">
      <w:pPr>
        <w:widowControl w:val="0"/>
        <w:autoSpaceDE w:val="0"/>
        <w:autoSpaceDN w:val="0"/>
        <w:adjustRightInd w:val="0"/>
        <w:spacing w:after="0" w:line="240" w:lineRule="auto"/>
        <w:ind w:right="144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11D7C84" w14:textId="77777777" w:rsidR="00F45F9F" w:rsidRPr="002D570D" w:rsidRDefault="00F45F9F" w:rsidP="004006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B03A78" w14:textId="22CDA726" w:rsidR="00E46F36" w:rsidRPr="002D570D" w:rsidRDefault="00E46F36" w:rsidP="004006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70D">
        <w:rPr>
          <w:rFonts w:ascii="Times New Roman" w:hAnsi="Times New Roman" w:cs="Times New Roman"/>
          <w:b/>
          <w:sz w:val="24"/>
          <w:szCs w:val="24"/>
        </w:rPr>
        <w:t>Conclusion</w:t>
      </w:r>
    </w:p>
    <w:p w14:paraId="5CB6A8CD" w14:textId="6676B270" w:rsidR="003146C2" w:rsidRPr="002D570D" w:rsidRDefault="003146C2" w:rsidP="000078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BC507D" w14:textId="77777777" w:rsidR="006E3F46" w:rsidRDefault="00222B11" w:rsidP="00750CE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70D">
        <w:rPr>
          <w:rFonts w:ascii="Times New Roman" w:hAnsi="Times New Roman" w:cs="Times New Roman"/>
          <w:b/>
          <w:sz w:val="24"/>
          <w:szCs w:val="24"/>
        </w:rPr>
        <w:tab/>
      </w:r>
      <w:r w:rsidR="00A33878" w:rsidRPr="002D570D">
        <w:rPr>
          <w:rFonts w:ascii="Times New Roman" w:hAnsi="Times New Roman" w:cs="Times New Roman"/>
          <w:sz w:val="24"/>
          <w:szCs w:val="24"/>
        </w:rPr>
        <w:t>Staff seeks authorization to conduct additional research and outreach regarding th</w:t>
      </w:r>
      <w:r w:rsidR="00190ADB" w:rsidRPr="002D570D">
        <w:rPr>
          <w:rFonts w:ascii="Times New Roman" w:hAnsi="Times New Roman" w:cs="Times New Roman"/>
          <w:sz w:val="24"/>
          <w:szCs w:val="24"/>
        </w:rPr>
        <w:t xml:space="preserve">e inconsistent spelling and usage of the word “subpoena” </w:t>
      </w:r>
      <w:r w:rsidR="00A33878" w:rsidRPr="002D570D">
        <w:rPr>
          <w:rFonts w:ascii="Times New Roman" w:hAnsi="Times New Roman" w:cs="Times New Roman"/>
          <w:sz w:val="24"/>
          <w:szCs w:val="24"/>
        </w:rPr>
        <w:t xml:space="preserve">in an effort to determine whether </w:t>
      </w:r>
      <w:r w:rsidR="00AA6A04" w:rsidRPr="002D570D">
        <w:rPr>
          <w:rFonts w:ascii="Times New Roman" w:hAnsi="Times New Roman" w:cs="Times New Roman"/>
          <w:sz w:val="24"/>
          <w:szCs w:val="24"/>
        </w:rPr>
        <w:t xml:space="preserve">it would be of assistance to have uniformity in the spelling of the word subpoena throughout the New Jersey </w:t>
      </w:r>
      <w:r w:rsidR="00750CE8">
        <w:rPr>
          <w:rFonts w:ascii="Times New Roman" w:hAnsi="Times New Roman" w:cs="Times New Roman"/>
          <w:sz w:val="24"/>
          <w:szCs w:val="24"/>
        </w:rPr>
        <w:t>s</w:t>
      </w:r>
      <w:r w:rsidR="00AA6A04" w:rsidRPr="002D570D">
        <w:rPr>
          <w:rFonts w:ascii="Times New Roman" w:hAnsi="Times New Roman" w:cs="Times New Roman"/>
          <w:sz w:val="24"/>
          <w:szCs w:val="24"/>
        </w:rPr>
        <w:t xml:space="preserve">tatutes. </w:t>
      </w:r>
    </w:p>
    <w:p w14:paraId="501C3D07" w14:textId="77777777" w:rsidR="006E3F46" w:rsidRDefault="006E3F46" w:rsidP="00750CE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5F1CF3" w14:textId="1F347FF1" w:rsidR="00222B11" w:rsidRPr="002D570D" w:rsidRDefault="006E3F46" w:rsidP="006E3F46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issue is of concern to Staff because although online tools for searching the </w:t>
      </w:r>
      <w:r w:rsidR="001D1A50">
        <w:rPr>
          <w:rFonts w:ascii="Times New Roman" w:hAnsi="Times New Roman" w:cs="Times New Roman"/>
          <w:sz w:val="24"/>
          <w:szCs w:val="24"/>
        </w:rPr>
        <w:t xml:space="preserve">New Jersey </w:t>
      </w:r>
      <w:r>
        <w:rPr>
          <w:rFonts w:ascii="Times New Roman" w:hAnsi="Times New Roman" w:cs="Times New Roman"/>
          <w:sz w:val="24"/>
          <w:szCs w:val="24"/>
        </w:rPr>
        <w:t>statutes are relatively sophisticated, depending on the database used, the different spellings can still lead to different results.</w:t>
      </w:r>
    </w:p>
    <w:p w14:paraId="2095F00F" w14:textId="03A0FFAA" w:rsidR="00A33878" w:rsidRPr="002D570D" w:rsidRDefault="00A33878" w:rsidP="00750CE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70D">
        <w:rPr>
          <w:rFonts w:ascii="Times New Roman" w:hAnsi="Times New Roman" w:cs="Times New Roman"/>
          <w:sz w:val="24"/>
          <w:szCs w:val="24"/>
        </w:rPr>
        <w:tab/>
      </w:r>
    </w:p>
    <w:p w14:paraId="72A85717" w14:textId="51D51B79" w:rsidR="003146C2" w:rsidRPr="003146C2" w:rsidRDefault="00A33878" w:rsidP="00750CE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2D570D">
        <w:rPr>
          <w:rFonts w:ascii="Times New Roman" w:hAnsi="Times New Roman" w:cs="Times New Roman"/>
          <w:sz w:val="24"/>
          <w:szCs w:val="24"/>
        </w:rPr>
        <w:tab/>
      </w:r>
      <w:r w:rsidR="009223A2">
        <w:rPr>
          <w:rFonts w:ascii="Times New Roman" w:hAnsi="Times New Roman" w:cs="Times New Roman"/>
          <w:sz w:val="24"/>
        </w:rPr>
        <w:t xml:space="preserve"> </w:t>
      </w:r>
      <w:r w:rsidR="000D4C5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</w:p>
    <w:p w14:paraId="05BFF3BA" w14:textId="77777777" w:rsidR="00E46F36" w:rsidRDefault="00E46F36" w:rsidP="0000789A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sectPr w:rsidR="00E46F36" w:rsidSect="00235BF5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67B377" w14:textId="77777777" w:rsidR="00135AC9" w:rsidRDefault="00135AC9" w:rsidP="00EB419E">
      <w:pPr>
        <w:spacing w:after="0" w:line="240" w:lineRule="auto"/>
      </w:pPr>
      <w:r>
        <w:separator/>
      </w:r>
    </w:p>
  </w:endnote>
  <w:endnote w:type="continuationSeparator" w:id="0">
    <w:p w14:paraId="584BF306" w14:textId="77777777" w:rsidR="00135AC9" w:rsidRDefault="00135AC9" w:rsidP="00EB4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2DBFF2" w14:textId="77777777" w:rsidR="00235BF5" w:rsidRDefault="00235BF5">
    <w:pPr>
      <w:pStyle w:val="Footer"/>
      <w:tabs>
        <w:tab w:val="clear" w:pos="4680"/>
        <w:tab w:val="clear" w:pos="9360"/>
      </w:tabs>
      <w:jc w:val="center"/>
      <w:rPr>
        <w:rFonts w:ascii="Times New Roman" w:hAnsi="Times New Roman"/>
        <w:color w:val="000000" w:themeColor="text1"/>
      </w:rPr>
    </w:pPr>
  </w:p>
  <w:p w14:paraId="60A9055E" w14:textId="77777777" w:rsidR="00235BF5" w:rsidRDefault="00235BF5">
    <w:pPr>
      <w:pStyle w:val="Footer"/>
      <w:tabs>
        <w:tab w:val="clear" w:pos="4680"/>
        <w:tab w:val="clear" w:pos="9360"/>
      </w:tabs>
      <w:jc w:val="center"/>
      <w:rPr>
        <w:rFonts w:ascii="Times New Roman" w:hAnsi="Times New Roman"/>
        <w:color w:val="000000" w:themeColor="text1"/>
      </w:rPr>
    </w:pPr>
  </w:p>
  <w:p w14:paraId="77311975" w14:textId="4171805F" w:rsidR="000B38DF" w:rsidRPr="00F827A6" w:rsidRDefault="000B38DF" w:rsidP="00F827A6">
    <w:pPr>
      <w:pStyle w:val="Footer"/>
      <w:tabs>
        <w:tab w:val="clear" w:pos="4680"/>
        <w:tab w:val="clear" w:pos="9360"/>
      </w:tabs>
      <w:jc w:val="center"/>
      <w:rPr>
        <w:rFonts w:asciiTheme="majorHAnsi" w:eastAsiaTheme="majorEastAsia" w:hAnsiTheme="majorHAnsi" w:cstheme="majorBidi"/>
        <w:sz w:val="20"/>
        <w:szCs w:val="20"/>
      </w:rPr>
    </w:pPr>
    <w:r w:rsidRPr="00F827A6">
      <w:rPr>
        <w:rFonts w:ascii="Times New Roman" w:hAnsi="Times New Roman"/>
        <w:color w:val="000000" w:themeColor="text1"/>
        <w:sz w:val="20"/>
        <w:szCs w:val="20"/>
      </w:rPr>
      <w:t xml:space="preserve">Memorandum – </w:t>
    </w:r>
    <w:r w:rsidR="00AA6A04">
      <w:rPr>
        <w:rFonts w:ascii="Times New Roman" w:hAnsi="Times New Roman"/>
        <w:color w:val="000000" w:themeColor="text1"/>
        <w:sz w:val="20"/>
        <w:szCs w:val="20"/>
      </w:rPr>
      <w:t xml:space="preserve">Subpoena v. </w:t>
    </w:r>
    <w:proofErr w:type="spellStart"/>
    <w:r w:rsidR="00AA6A04">
      <w:rPr>
        <w:rFonts w:ascii="Times New Roman" w:hAnsi="Times New Roman"/>
        <w:color w:val="000000" w:themeColor="text1"/>
        <w:sz w:val="20"/>
        <w:szCs w:val="20"/>
      </w:rPr>
      <w:t>Subpena</w:t>
    </w:r>
    <w:proofErr w:type="spellEnd"/>
    <w:r w:rsidR="000C291B" w:rsidRPr="00F827A6">
      <w:rPr>
        <w:rFonts w:ascii="Times New Roman" w:hAnsi="Times New Roman"/>
        <w:color w:val="000000" w:themeColor="text1"/>
        <w:sz w:val="20"/>
        <w:szCs w:val="20"/>
      </w:rPr>
      <w:t xml:space="preserve"> </w:t>
    </w:r>
    <w:r w:rsidR="00F827A6">
      <w:rPr>
        <w:rFonts w:ascii="Times New Roman" w:hAnsi="Times New Roman"/>
        <w:color w:val="000000" w:themeColor="text1"/>
        <w:sz w:val="20"/>
        <w:szCs w:val="20"/>
      </w:rPr>
      <w:t xml:space="preserve">- </w:t>
    </w:r>
    <w:r w:rsidR="00A67B85" w:rsidRPr="00F827A6">
      <w:rPr>
        <w:rFonts w:ascii="Times New Roman" w:eastAsiaTheme="majorEastAsia" w:hAnsi="Times New Roman" w:cs="Times New Roman"/>
        <w:sz w:val="20"/>
        <w:szCs w:val="20"/>
      </w:rPr>
      <w:t xml:space="preserve">Page </w:t>
    </w:r>
    <w:sdt>
      <w:sdtPr>
        <w:rPr>
          <w:rFonts w:ascii="Times New Roman" w:eastAsiaTheme="majorEastAsia" w:hAnsi="Times New Roman" w:cs="Times New Roman"/>
          <w:sz w:val="20"/>
          <w:szCs w:val="20"/>
        </w:rPr>
        <w:id w:val="-999964318"/>
        <w:docPartObj>
          <w:docPartGallery w:val="Page Numbers (Margins)"/>
          <w:docPartUnique/>
        </w:docPartObj>
      </w:sdtPr>
      <w:sdtEndPr>
        <w:rPr>
          <w:rFonts w:asciiTheme="majorHAnsi" w:hAnsiTheme="majorHAnsi" w:cstheme="majorBidi"/>
        </w:rPr>
      </w:sdtEndPr>
      <w:sdtContent>
        <w:sdt>
          <w:sdtPr>
            <w:rPr>
              <w:rFonts w:ascii="Times New Roman" w:eastAsiaTheme="majorEastAsia" w:hAnsi="Times New Roman" w:cs="Times New Roman"/>
              <w:sz w:val="20"/>
              <w:szCs w:val="20"/>
            </w:rPr>
            <w:id w:val="574478829"/>
            <w:docPartObj>
              <w:docPartGallery w:val="Page Numbers (Margins)"/>
              <w:docPartUnique/>
            </w:docPartObj>
          </w:sdtPr>
          <w:sdtEndPr>
            <w:rPr>
              <w:rFonts w:asciiTheme="majorHAnsi" w:hAnsiTheme="majorHAnsi" w:cstheme="majorBidi"/>
            </w:rPr>
          </w:sdtEndPr>
          <w:sdtContent>
            <w:r w:rsidR="00991A95" w:rsidRPr="00F827A6">
              <w:rPr>
                <w:rFonts w:ascii="Times New Roman" w:eastAsiaTheme="minorEastAsia" w:hAnsi="Times New Roman" w:cs="Times New Roman"/>
                <w:sz w:val="20"/>
                <w:szCs w:val="20"/>
              </w:rPr>
              <w:fldChar w:fldCharType="begin"/>
            </w:r>
            <w:r w:rsidR="00991A95" w:rsidRPr="00F827A6">
              <w:rPr>
                <w:rFonts w:ascii="Times New Roman" w:hAnsi="Times New Roman" w:cs="Times New Roman"/>
                <w:sz w:val="20"/>
                <w:szCs w:val="20"/>
              </w:rPr>
              <w:instrText xml:space="preserve"> PAGE   \* MERGEFORMAT </w:instrText>
            </w:r>
            <w:r w:rsidR="00991A95" w:rsidRPr="00F827A6">
              <w:rPr>
                <w:rFonts w:ascii="Times New Roman" w:eastAsiaTheme="minorEastAsia" w:hAnsi="Times New Roman" w:cs="Times New Roman"/>
                <w:sz w:val="20"/>
                <w:szCs w:val="20"/>
              </w:rPr>
              <w:fldChar w:fldCharType="separate"/>
            </w:r>
            <w:r w:rsidR="008B6B57" w:rsidRPr="008B6B57">
              <w:rPr>
                <w:rFonts w:ascii="Times New Roman" w:eastAsiaTheme="majorEastAsia" w:hAnsi="Times New Roman" w:cs="Times New Roman"/>
                <w:noProof/>
                <w:sz w:val="20"/>
                <w:szCs w:val="20"/>
              </w:rPr>
              <w:t>2</w:t>
            </w:r>
            <w:r w:rsidR="00991A95" w:rsidRPr="00F827A6">
              <w:rPr>
                <w:rFonts w:ascii="Times New Roman" w:eastAsiaTheme="majorEastAsia" w:hAnsi="Times New Roman" w:cs="Times New Roman"/>
                <w:noProof/>
                <w:sz w:val="20"/>
                <w:szCs w:val="20"/>
              </w:rPr>
              <w:fldChar w:fldCharType="end"/>
            </w:r>
          </w:sdtContent>
        </w:sdt>
      </w:sdtContent>
    </w:sdt>
  </w:p>
  <w:p w14:paraId="5E37DB7E" w14:textId="77777777" w:rsidR="00991A95" w:rsidRDefault="00991A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8028BD" w14:textId="77777777" w:rsidR="00135AC9" w:rsidRDefault="00135AC9" w:rsidP="00EB419E">
      <w:pPr>
        <w:spacing w:after="0" w:line="240" w:lineRule="auto"/>
      </w:pPr>
      <w:r>
        <w:separator/>
      </w:r>
    </w:p>
  </w:footnote>
  <w:footnote w:type="continuationSeparator" w:id="0">
    <w:p w14:paraId="0E2F41EC" w14:textId="77777777" w:rsidR="00135AC9" w:rsidRDefault="00135AC9" w:rsidP="00EB419E">
      <w:pPr>
        <w:spacing w:after="0" w:line="240" w:lineRule="auto"/>
      </w:pPr>
      <w:r>
        <w:continuationSeparator/>
      </w:r>
    </w:p>
  </w:footnote>
  <w:footnote w:id="1">
    <w:p w14:paraId="3A240A5A" w14:textId="0E82CF23" w:rsidR="00073540" w:rsidRPr="00073540" w:rsidRDefault="00073540" w:rsidP="00073540">
      <w:pPr>
        <w:pStyle w:val="FootnoteText"/>
        <w:jc w:val="both"/>
        <w:rPr>
          <w:rFonts w:ascii="Times New Roman" w:hAnsi="Times New Roman"/>
        </w:rPr>
      </w:pPr>
      <w:r>
        <w:rPr>
          <w:rStyle w:val="FootnoteReference"/>
        </w:rPr>
        <w:footnoteRef/>
      </w:r>
      <w:r>
        <w:t xml:space="preserve"> </w:t>
      </w:r>
      <w:r w:rsidRPr="00376FEA">
        <w:rPr>
          <w:rFonts w:ascii="Times New Roman" w:hAnsi="Times New Roman"/>
          <w:i/>
        </w:rPr>
        <w:t>N.J. Stat. Ann</w:t>
      </w:r>
      <w:proofErr w:type="gramStart"/>
      <w:r w:rsidRPr="00376FEA">
        <w:rPr>
          <w:rFonts w:ascii="Times New Roman" w:hAnsi="Times New Roman"/>
          <w:i/>
        </w:rPr>
        <w:t>.</w:t>
      </w:r>
      <w:r>
        <w:rPr>
          <w:rFonts w:ascii="Times New Roman" w:hAnsi="Times New Roman"/>
        </w:rPr>
        <w:t>§</w:t>
      </w:r>
      <w:proofErr w:type="gramEnd"/>
      <w:r>
        <w:rPr>
          <w:rFonts w:ascii="Times New Roman" w:hAnsi="Times New Roman"/>
        </w:rPr>
        <w:t xml:space="preserve"> 2A:23A-1</w:t>
      </w:r>
      <w:r w:rsidR="00F45F9F">
        <w:rPr>
          <w:rFonts w:ascii="Times New Roman" w:hAnsi="Times New Roman"/>
        </w:rPr>
        <w:t>.</w:t>
      </w:r>
    </w:p>
  </w:footnote>
  <w:footnote w:id="2">
    <w:p w14:paraId="70EE68E8" w14:textId="77777777" w:rsidR="00763179" w:rsidRDefault="00763179" w:rsidP="00763179">
      <w:pPr>
        <w:pStyle w:val="FootnoteText"/>
      </w:pPr>
      <w:r w:rsidRPr="00763179">
        <w:rPr>
          <w:rStyle w:val="FootnoteReference"/>
          <w:rFonts w:ascii="Times New Roman" w:hAnsi="Times New Roman" w:cs="Times New Roman"/>
        </w:rPr>
        <w:footnoteRef/>
      </w:r>
      <w:r w:rsidRPr="00763179">
        <w:rPr>
          <w:rFonts w:ascii="Times New Roman" w:hAnsi="Times New Roman" w:cs="Times New Roman"/>
        </w:rPr>
        <w:t xml:space="preserve"> </w:t>
      </w:r>
      <w:r w:rsidRPr="00ED527A">
        <w:rPr>
          <w:rFonts w:ascii="Times New Roman" w:hAnsi="Times New Roman"/>
          <w:i/>
        </w:rPr>
        <w:t>Citizens United Reciprocal Exch. v. N. NJ Orthopedic Specialists</w:t>
      </w:r>
      <w:r>
        <w:rPr>
          <w:rFonts w:ascii="Times New Roman" w:hAnsi="Times New Roman"/>
        </w:rPr>
        <w:t xml:space="preserve">. </w:t>
      </w:r>
      <w:r w:rsidRPr="00ED527A">
        <w:rPr>
          <w:rFonts w:ascii="Times New Roman" w:hAnsi="Times New Roman"/>
        </w:rPr>
        <w:t xml:space="preserve">, 445 N.J. Super. </w:t>
      </w:r>
      <w:proofErr w:type="gramStart"/>
      <w:r w:rsidRPr="00ED527A">
        <w:rPr>
          <w:rFonts w:ascii="Times New Roman" w:hAnsi="Times New Roman"/>
        </w:rPr>
        <w:t>371 (App. Div. 2016).</w:t>
      </w:r>
      <w:proofErr w:type="gramEnd"/>
      <w:r>
        <w:t xml:space="preserve"> </w:t>
      </w:r>
    </w:p>
  </w:footnote>
  <w:footnote w:id="3">
    <w:p w14:paraId="76914F91" w14:textId="6E499053" w:rsidR="00763179" w:rsidRPr="00763179" w:rsidRDefault="00763179">
      <w:pPr>
        <w:pStyle w:val="FootnoteText"/>
        <w:rPr>
          <w:rFonts w:ascii="Times New Roman" w:hAnsi="Times New Roman" w:cs="Times New Roman"/>
        </w:rPr>
      </w:pPr>
      <w:r w:rsidRPr="00763179">
        <w:rPr>
          <w:rStyle w:val="FootnoteReference"/>
          <w:rFonts w:ascii="Times New Roman" w:hAnsi="Times New Roman" w:cs="Times New Roman"/>
        </w:rPr>
        <w:footnoteRef/>
      </w:r>
      <w:r w:rsidRPr="00763179">
        <w:rPr>
          <w:rFonts w:ascii="Times New Roman" w:hAnsi="Times New Roman" w:cs="Times New Roman"/>
        </w:rPr>
        <w:t xml:space="preserve"> </w:t>
      </w:r>
      <w:r w:rsidRPr="00376FEA">
        <w:rPr>
          <w:rFonts w:ascii="Times New Roman" w:hAnsi="Times New Roman"/>
          <w:i/>
        </w:rPr>
        <w:t>N.J. Stat. Ann.</w:t>
      </w:r>
      <w:r>
        <w:rPr>
          <w:rFonts w:ascii="Times New Roman" w:hAnsi="Times New Roman"/>
        </w:rPr>
        <w:t xml:space="preserve"> § 2A:23A-11.</w:t>
      </w:r>
    </w:p>
  </w:footnote>
  <w:footnote w:id="4">
    <w:p w14:paraId="2A3D311E" w14:textId="4402B986" w:rsidR="00763179" w:rsidRPr="00763179" w:rsidRDefault="00763179">
      <w:pPr>
        <w:pStyle w:val="FootnoteText"/>
        <w:rPr>
          <w:rFonts w:ascii="Times New Roman" w:hAnsi="Times New Roman" w:cs="Times New Roman"/>
          <w:i/>
        </w:rPr>
      </w:pPr>
      <w:r w:rsidRPr="00763179">
        <w:rPr>
          <w:rStyle w:val="FootnoteReference"/>
          <w:rFonts w:ascii="Times New Roman" w:hAnsi="Times New Roman" w:cs="Times New Roman"/>
        </w:rPr>
        <w:footnoteRef/>
      </w:r>
      <w:r w:rsidRPr="00763179">
        <w:rPr>
          <w:rFonts w:ascii="Times New Roman" w:hAnsi="Times New Roman" w:cs="Times New Roman"/>
        </w:rPr>
        <w:t xml:space="preserve"> </w:t>
      </w:r>
      <w:r w:rsidRPr="00763179">
        <w:rPr>
          <w:rFonts w:ascii="Times New Roman" w:hAnsi="Times New Roman" w:cs="Times New Roman"/>
          <w:i/>
        </w:rPr>
        <w:t>Id</w:t>
      </w:r>
      <w:r>
        <w:rPr>
          <w:rFonts w:ascii="Times New Roman" w:hAnsi="Times New Roman" w:cs="Times New Roman"/>
          <w:i/>
        </w:rPr>
        <w:t>.</w:t>
      </w:r>
    </w:p>
  </w:footnote>
  <w:footnote w:id="5">
    <w:p w14:paraId="4540A09C" w14:textId="55E0073F" w:rsidR="00F45F9F" w:rsidRDefault="00F45F9F">
      <w:pPr>
        <w:pStyle w:val="FootnoteText"/>
      </w:pPr>
      <w:r w:rsidRPr="00F45F9F">
        <w:rPr>
          <w:rStyle w:val="FootnoteReference"/>
          <w:rFonts w:ascii="Times New Roman" w:hAnsi="Times New Roman" w:cs="Times New Roman"/>
        </w:rPr>
        <w:footnoteRef/>
      </w:r>
      <w:r>
        <w:t xml:space="preserve"> </w:t>
      </w:r>
      <w:r w:rsidRPr="00376FEA">
        <w:rPr>
          <w:rFonts w:ascii="Times New Roman" w:hAnsi="Times New Roman"/>
          <w:i/>
        </w:rPr>
        <w:t>N.J. Stat. Ann.</w:t>
      </w:r>
      <w:r>
        <w:rPr>
          <w:rFonts w:ascii="Times New Roman" w:hAnsi="Times New Roman"/>
        </w:rPr>
        <w:t xml:space="preserve"> § 2A:23A-24.</w:t>
      </w:r>
    </w:p>
  </w:footnote>
  <w:footnote w:id="6">
    <w:p w14:paraId="60CAD546" w14:textId="27BF2661" w:rsidR="00190ADB" w:rsidRPr="00190ADB" w:rsidRDefault="00190ADB">
      <w:pPr>
        <w:pStyle w:val="FootnoteText"/>
        <w:rPr>
          <w:rFonts w:ascii="Times New Roman" w:hAnsi="Times New Roman" w:cs="Times New Roman"/>
          <w:i/>
        </w:rPr>
      </w:pPr>
      <w:r w:rsidRPr="00190ADB">
        <w:rPr>
          <w:rStyle w:val="FootnoteReference"/>
          <w:rFonts w:ascii="Times New Roman" w:hAnsi="Times New Roman" w:cs="Times New Roman"/>
        </w:rPr>
        <w:footnoteRef/>
      </w:r>
      <w:r w:rsidRPr="00190ADB">
        <w:rPr>
          <w:rFonts w:ascii="Times New Roman" w:hAnsi="Times New Roman" w:cs="Times New Roman"/>
        </w:rPr>
        <w:t xml:space="preserve"> </w:t>
      </w:r>
      <w:r w:rsidRPr="00190ADB">
        <w:rPr>
          <w:rFonts w:ascii="Times New Roman" w:hAnsi="Times New Roman" w:cs="Times New Roman"/>
          <w:i/>
        </w:rPr>
        <w:t>S</w:t>
      </w:r>
      <w:r>
        <w:rPr>
          <w:rFonts w:ascii="Times New Roman" w:hAnsi="Times New Roman" w:cs="Times New Roman"/>
          <w:i/>
        </w:rPr>
        <w:t>ee</w:t>
      </w:r>
      <w:r w:rsidRPr="00190ADB">
        <w:rPr>
          <w:rFonts w:ascii="Times New Roman" w:hAnsi="Times New Roman" w:cs="Times New Roman"/>
          <w:i/>
        </w:rPr>
        <w:t xml:space="preserve"> </w:t>
      </w:r>
      <w:r w:rsidRPr="00376FEA">
        <w:rPr>
          <w:rFonts w:ascii="Times New Roman" w:hAnsi="Times New Roman"/>
          <w:i/>
        </w:rPr>
        <w:t>N.J. Stat. Ann.</w:t>
      </w:r>
      <w:r>
        <w:rPr>
          <w:rFonts w:ascii="Times New Roman" w:hAnsi="Times New Roman"/>
        </w:rPr>
        <w:t xml:space="preserve"> §56:9-9.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7F6"/>
    <w:rsid w:val="00003E76"/>
    <w:rsid w:val="0000789A"/>
    <w:rsid w:val="00014D71"/>
    <w:rsid w:val="00033A98"/>
    <w:rsid w:val="0003462E"/>
    <w:rsid w:val="00062ABC"/>
    <w:rsid w:val="0006463B"/>
    <w:rsid w:val="000709E1"/>
    <w:rsid w:val="00073540"/>
    <w:rsid w:val="000934E1"/>
    <w:rsid w:val="00094BD2"/>
    <w:rsid w:val="00096658"/>
    <w:rsid w:val="00096E2B"/>
    <w:rsid w:val="000B38DF"/>
    <w:rsid w:val="000C06F5"/>
    <w:rsid w:val="000C291B"/>
    <w:rsid w:val="000C6099"/>
    <w:rsid w:val="000C712B"/>
    <w:rsid w:val="000D1112"/>
    <w:rsid w:val="000D4C5C"/>
    <w:rsid w:val="000E02A4"/>
    <w:rsid w:val="000E42CA"/>
    <w:rsid w:val="000F6D30"/>
    <w:rsid w:val="00117B31"/>
    <w:rsid w:val="00120C33"/>
    <w:rsid w:val="00125A10"/>
    <w:rsid w:val="00125C4F"/>
    <w:rsid w:val="00126923"/>
    <w:rsid w:val="00135AC9"/>
    <w:rsid w:val="00135B51"/>
    <w:rsid w:val="001425B9"/>
    <w:rsid w:val="001630D7"/>
    <w:rsid w:val="0017246B"/>
    <w:rsid w:val="00190ADB"/>
    <w:rsid w:val="00193776"/>
    <w:rsid w:val="001A2492"/>
    <w:rsid w:val="001B1700"/>
    <w:rsid w:val="001C428E"/>
    <w:rsid w:val="001D1A50"/>
    <w:rsid w:val="001F3B9A"/>
    <w:rsid w:val="00200FDA"/>
    <w:rsid w:val="00212493"/>
    <w:rsid w:val="0021559F"/>
    <w:rsid w:val="00222B11"/>
    <w:rsid w:val="00235BF5"/>
    <w:rsid w:val="00242952"/>
    <w:rsid w:val="00243803"/>
    <w:rsid w:val="00246A7B"/>
    <w:rsid w:val="00270BDD"/>
    <w:rsid w:val="00281D31"/>
    <w:rsid w:val="002A79ED"/>
    <w:rsid w:val="002D0051"/>
    <w:rsid w:val="002D570D"/>
    <w:rsid w:val="002F1550"/>
    <w:rsid w:val="002F62E1"/>
    <w:rsid w:val="002F6D8B"/>
    <w:rsid w:val="003139A1"/>
    <w:rsid w:val="003146C2"/>
    <w:rsid w:val="00314D58"/>
    <w:rsid w:val="00320467"/>
    <w:rsid w:val="003409B6"/>
    <w:rsid w:val="00355BFA"/>
    <w:rsid w:val="00357A68"/>
    <w:rsid w:val="003612B6"/>
    <w:rsid w:val="0036268D"/>
    <w:rsid w:val="00371C69"/>
    <w:rsid w:val="003832DA"/>
    <w:rsid w:val="00385192"/>
    <w:rsid w:val="00387989"/>
    <w:rsid w:val="00393988"/>
    <w:rsid w:val="0039666D"/>
    <w:rsid w:val="003A5510"/>
    <w:rsid w:val="003B32AD"/>
    <w:rsid w:val="003C4DD4"/>
    <w:rsid w:val="003C65CD"/>
    <w:rsid w:val="003E0D4E"/>
    <w:rsid w:val="003F0DF9"/>
    <w:rsid w:val="004006D8"/>
    <w:rsid w:val="004075CD"/>
    <w:rsid w:val="00413AAD"/>
    <w:rsid w:val="00416E12"/>
    <w:rsid w:val="004401B9"/>
    <w:rsid w:val="004472E7"/>
    <w:rsid w:val="00457986"/>
    <w:rsid w:val="0046315B"/>
    <w:rsid w:val="00463BA3"/>
    <w:rsid w:val="004751D3"/>
    <w:rsid w:val="004A13AE"/>
    <w:rsid w:val="004B3CDA"/>
    <w:rsid w:val="004B4986"/>
    <w:rsid w:val="004C2063"/>
    <w:rsid w:val="004C7725"/>
    <w:rsid w:val="004E751D"/>
    <w:rsid w:val="004F4B5D"/>
    <w:rsid w:val="00506CEA"/>
    <w:rsid w:val="005071F7"/>
    <w:rsid w:val="005228A9"/>
    <w:rsid w:val="00530115"/>
    <w:rsid w:val="00531D2B"/>
    <w:rsid w:val="00532E10"/>
    <w:rsid w:val="005418E7"/>
    <w:rsid w:val="00553FEA"/>
    <w:rsid w:val="005557EA"/>
    <w:rsid w:val="00561F36"/>
    <w:rsid w:val="00582D80"/>
    <w:rsid w:val="00584130"/>
    <w:rsid w:val="005A3BB2"/>
    <w:rsid w:val="005B13B1"/>
    <w:rsid w:val="005C3C82"/>
    <w:rsid w:val="005C4514"/>
    <w:rsid w:val="005C70A9"/>
    <w:rsid w:val="005E0F62"/>
    <w:rsid w:val="005E1E60"/>
    <w:rsid w:val="005E2D3A"/>
    <w:rsid w:val="005E62BF"/>
    <w:rsid w:val="00613272"/>
    <w:rsid w:val="00622420"/>
    <w:rsid w:val="0062572A"/>
    <w:rsid w:val="0062767C"/>
    <w:rsid w:val="006401AC"/>
    <w:rsid w:val="00640E1D"/>
    <w:rsid w:val="006510A8"/>
    <w:rsid w:val="00652793"/>
    <w:rsid w:val="0065411A"/>
    <w:rsid w:val="006618B2"/>
    <w:rsid w:val="006678A8"/>
    <w:rsid w:val="006731A9"/>
    <w:rsid w:val="006843A1"/>
    <w:rsid w:val="0068509C"/>
    <w:rsid w:val="006A0CD6"/>
    <w:rsid w:val="006A15BD"/>
    <w:rsid w:val="006A2F50"/>
    <w:rsid w:val="006B0A63"/>
    <w:rsid w:val="006C6ABF"/>
    <w:rsid w:val="006E2F7C"/>
    <w:rsid w:val="006E3F46"/>
    <w:rsid w:val="006E6F74"/>
    <w:rsid w:val="006F0A5C"/>
    <w:rsid w:val="0072190F"/>
    <w:rsid w:val="00750CE8"/>
    <w:rsid w:val="0075426A"/>
    <w:rsid w:val="00763179"/>
    <w:rsid w:val="00765C40"/>
    <w:rsid w:val="00775105"/>
    <w:rsid w:val="00781B48"/>
    <w:rsid w:val="007933DF"/>
    <w:rsid w:val="007B463B"/>
    <w:rsid w:val="007D17EA"/>
    <w:rsid w:val="007E455D"/>
    <w:rsid w:val="007F5D1A"/>
    <w:rsid w:val="00823514"/>
    <w:rsid w:val="00823F0F"/>
    <w:rsid w:val="00832943"/>
    <w:rsid w:val="008414BF"/>
    <w:rsid w:val="00853ECD"/>
    <w:rsid w:val="00862D71"/>
    <w:rsid w:val="008734ED"/>
    <w:rsid w:val="00874E8E"/>
    <w:rsid w:val="008B6B57"/>
    <w:rsid w:val="009117DA"/>
    <w:rsid w:val="00912F0B"/>
    <w:rsid w:val="009206BB"/>
    <w:rsid w:val="009223A2"/>
    <w:rsid w:val="00923565"/>
    <w:rsid w:val="009303D9"/>
    <w:rsid w:val="00957F9D"/>
    <w:rsid w:val="009643A2"/>
    <w:rsid w:val="00991A95"/>
    <w:rsid w:val="009967C6"/>
    <w:rsid w:val="009A6C1F"/>
    <w:rsid w:val="009B140B"/>
    <w:rsid w:val="009B7B17"/>
    <w:rsid w:val="009C6B08"/>
    <w:rsid w:val="009D2B23"/>
    <w:rsid w:val="009D412E"/>
    <w:rsid w:val="009D681D"/>
    <w:rsid w:val="009D71C9"/>
    <w:rsid w:val="009E360F"/>
    <w:rsid w:val="009F3B96"/>
    <w:rsid w:val="009F42C6"/>
    <w:rsid w:val="009F5078"/>
    <w:rsid w:val="009F6E68"/>
    <w:rsid w:val="00A10F3E"/>
    <w:rsid w:val="00A23879"/>
    <w:rsid w:val="00A250E1"/>
    <w:rsid w:val="00A314B0"/>
    <w:rsid w:val="00A33878"/>
    <w:rsid w:val="00A3533F"/>
    <w:rsid w:val="00A3602D"/>
    <w:rsid w:val="00A54127"/>
    <w:rsid w:val="00A560E2"/>
    <w:rsid w:val="00A579CB"/>
    <w:rsid w:val="00A57DEB"/>
    <w:rsid w:val="00A67339"/>
    <w:rsid w:val="00A67B85"/>
    <w:rsid w:val="00A81BA4"/>
    <w:rsid w:val="00A828A6"/>
    <w:rsid w:val="00A90D97"/>
    <w:rsid w:val="00A97B4D"/>
    <w:rsid w:val="00AA1A98"/>
    <w:rsid w:val="00AA6A04"/>
    <w:rsid w:val="00AC010F"/>
    <w:rsid w:val="00AC31CD"/>
    <w:rsid w:val="00AC3D83"/>
    <w:rsid w:val="00AC4EA1"/>
    <w:rsid w:val="00AD23D3"/>
    <w:rsid w:val="00AE19A9"/>
    <w:rsid w:val="00B04612"/>
    <w:rsid w:val="00B15417"/>
    <w:rsid w:val="00B21251"/>
    <w:rsid w:val="00B25068"/>
    <w:rsid w:val="00B2631D"/>
    <w:rsid w:val="00B4327E"/>
    <w:rsid w:val="00B67D0C"/>
    <w:rsid w:val="00B94F5C"/>
    <w:rsid w:val="00BA11B3"/>
    <w:rsid w:val="00BA5803"/>
    <w:rsid w:val="00BB59AA"/>
    <w:rsid w:val="00BC5729"/>
    <w:rsid w:val="00BC5FEE"/>
    <w:rsid w:val="00BF78BD"/>
    <w:rsid w:val="00C40E65"/>
    <w:rsid w:val="00C4608D"/>
    <w:rsid w:val="00C56709"/>
    <w:rsid w:val="00C7515A"/>
    <w:rsid w:val="00C77DF3"/>
    <w:rsid w:val="00C93F38"/>
    <w:rsid w:val="00C96138"/>
    <w:rsid w:val="00CA1CA1"/>
    <w:rsid w:val="00CB01D4"/>
    <w:rsid w:val="00CB5E6E"/>
    <w:rsid w:val="00CC1F43"/>
    <w:rsid w:val="00CC4F05"/>
    <w:rsid w:val="00CE29E6"/>
    <w:rsid w:val="00CE71FF"/>
    <w:rsid w:val="00D00CBC"/>
    <w:rsid w:val="00D01E11"/>
    <w:rsid w:val="00D105E0"/>
    <w:rsid w:val="00D220BF"/>
    <w:rsid w:val="00D31EAD"/>
    <w:rsid w:val="00D32C93"/>
    <w:rsid w:val="00D3615B"/>
    <w:rsid w:val="00D410EA"/>
    <w:rsid w:val="00D46818"/>
    <w:rsid w:val="00D735CB"/>
    <w:rsid w:val="00D77111"/>
    <w:rsid w:val="00D77753"/>
    <w:rsid w:val="00D828CA"/>
    <w:rsid w:val="00D83B79"/>
    <w:rsid w:val="00D844ED"/>
    <w:rsid w:val="00DD3CFF"/>
    <w:rsid w:val="00DD4BBA"/>
    <w:rsid w:val="00DE1B58"/>
    <w:rsid w:val="00DE1F27"/>
    <w:rsid w:val="00DF4AB6"/>
    <w:rsid w:val="00E0128A"/>
    <w:rsid w:val="00E04D4E"/>
    <w:rsid w:val="00E106D4"/>
    <w:rsid w:val="00E20C81"/>
    <w:rsid w:val="00E31BFA"/>
    <w:rsid w:val="00E46F36"/>
    <w:rsid w:val="00E6730A"/>
    <w:rsid w:val="00E6776C"/>
    <w:rsid w:val="00E7621F"/>
    <w:rsid w:val="00E80306"/>
    <w:rsid w:val="00E947D7"/>
    <w:rsid w:val="00EA08F8"/>
    <w:rsid w:val="00EA4B5F"/>
    <w:rsid w:val="00EB1FCE"/>
    <w:rsid w:val="00EB2EEE"/>
    <w:rsid w:val="00EB419E"/>
    <w:rsid w:val="00EC73E2"/>
    <w:rsid w:val="00ED4095"/>
    <w:rsid w:val="00EE0069"/>
    <w:rsid w:val="00EE07F6"/>
    <w:rsid w:val="00EE31F0"/>
    <w:rsid w:val="00EE4208"/>
    <w:rsid w:val="00EE42AE"/>
    <w:rsid w:val="00EF2DED"/>
    <w:rsid w:val="00EF3F81"/>
    <w:rsid w:val="00F13319"/>
    <w:rsid w:val="00F13DD5"/>
    <w:rsid w:val="00F31A7F"/>
    <w:rsid w:val="00F370D0"/>
    <w:rsid w:val="00F4255A"/>
    <w:rsid w:val="00F45F9F"/>
    <w:rsid w:val="00F77EBB"/>
    <w:rsid w:val="00F827A6"/>
    <w:rsid w:val="00F831D1"/>
    <w:rsid w:val="00F94661"/>
    <w:rsid w:val="00F95165"/>
    <w:rsid w:val="00FB3F14"/>
    <w:rsid w:val="00FC3254"/>
    <w:rsid w:val="00FC3429"/>
    <w:rsid w:val="00FD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F435F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527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B41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419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B419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40E6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2F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F7C"/>
  </w:style>
  <w:style w:type="paragraph" w:styleId="Footer">
    <w:name w:val="footer"/>
    <w:basedOn w:val="Normal"/>
    <w:link w:val="FooterChar"/>
    <w:uiPriority w:val="99"/>
    <w:unhideWhenUsed/>
    <w:rsid w:val="006E2F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F7C"/>
  </w:style>
  <w:style w:type="character" w:customStyle="1" w:styleId="Heading1Char">
    <w:name w:val="Heading 1 Char"/>
    <w:basedOn w:val="DefaultParagraphFont"/>
    <w:link w:val="Heading1"/>
    <w:uiPriority w:val="9"/>
    <w:rsid w:val="0065279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652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52793"/>
  </w:style>
  <w:style w:type="character" w:styleId="Strong">
    <w:name w:val="Strong"/>
    <w:basedOn w:val="DefaultParagraphFont"/>
    <w:uiPriority w:val="22"/>
    <w:qFormat/>
    <w:rsid w:val="00652793"/>
    <w:rPr>
      <w:b/>
      <w:bCs/>
    </w:rPr>
  </w:style>
  <w:style w:type="character" w:styleId="Emphasis">
    <w:name w:val="Emphasis"/>
    <w:basedOn w:val="DefaultParagraphFont"/>
    <w:uiPriority w:val="20"/>
    <w:qFormat/>
    <w:rsid w:val="0065279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2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527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B41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419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B419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40E6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2F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F7C"/>
  </w:style>
  <w:style w:type="paragraph" w:styleId="Footer">
    <w:name w:val="footer"/>
    <w:basedOn w:val="Normal"/>
    <w:link w:val="FooterChar"/>
    <w:uiPriority w:val="99"/>
    <w:unhideWhenUsed/>
    <w:rsid w:val="006E2F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F7C"/>
  </w:style>
  <w:style w:type="character" w:customStyle="1" w:styleId="Heading1Char">
    <w:name w:val="Heading 1 Char"/>
    <w:basedOn w:val="DefaultParagraphFont"/>
    <w:link w:val="Heading1"/>
    <w:uiPriority w:val="9"/>
    <w:rsid w:val="0065279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652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52793"/>
  </w:style>
  <w:style w:type="character" w:styleId="Strong">
    <w:name w:val="Strong"/>
    <w:basedOn w:val="DefaultParagraphFont"/>
    <w:uiPriority w:val="22"/>
    <w:qFormat/>
    <w:rsid w:val="00652793"/>
    <w:rPr>
      <w:b/>
      <w:bCs/>
    </w:rPr>
  </w:style>
  <w:style w:type="character" w:styleId="Emphasis">
    <w:name w:val="Emphasis"/>
    <w:basedOn w:val="DefaultParagraphFont"/>
    <w:uiPriority w:val="20"/>
    <w:qFormat/>
    <w:rsid w:val="0065279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2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2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5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1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2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87E5E-5B19-4970-A2EC-BA7EBD501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Silver</dc:creator>
  <cp:lastModifiedBy>Linda Woodards-French</cp:lastModifiedBy>
  <cp:revision>8</cp:revision>
  <cp:lastPrinted>2017-06-05T13:55:00Z</cp:lastPrinted>
  <dcterms:created xsi:type="dcterms:W3CDTF">2017-06-01T15:44:00Z</dcterms:created>
  <dcterms:modified xsi:type="dcterms:W3CDTF">2017-06-05T13:55:00Z</dcterms:modified>
</cp:coreProperties>
</file>