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43" w:rsidRDefault="00D06A43" w:rsidP="00D06A43">
      <w:pPr>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sidR="00A63C75">
        <w:rPr>
          <w:rFonts w:ascii="Times New Roman" w:hAnsi="Times New Roman" w:cs="Times New Roman"/>
          <w:b/>
          <w:sz w:val="24"/>
          <w:szCs w:val="24"/>
        </w:rPr>
        <w:t>New Jersey Law Revision Commission</w:t>
      </w:r>
    </w:p>
    <w:p w:rsidR="00D06A43" w:rsidRDefault="00D06A43" w:rsidP="00D06A43">
      <w:pPr>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t>Erik Topp</w:t>
      </w:r>
    </w:p>
    <w:p w:rsidR="00880DF6" w:rsidRPr="004A68BD" w:rsidRDefault="00D06A43" w:rsidP="00D06A43">
      <w:pPr>
        <w:rPr>
          <w:rFonts w:ascii="Times New Roman" w:hAnsi="Times New Roman" w:cs="Times New Roman"/>
          <w:b/>
          <w:i/>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sidR="004A68BD">
        <w:rPr>
          <w:rFonts w:ascii="Times New Roman" w:hAnsi="Times New Roman" w:cs="Times New Roman"/>
          <w:b/>
          <w:i/>
          <w:sz w:val="24"/>
          <w:szCs w:val="24"/>
        </w:rPr>
        <w:t xml:space="preserve">State v. </w:t>
      </w:r>
      <w:proofErr w:type="spellStart"/>
      <w:r w:rsidR="004A68BD">
        <w:rPr>
          <w:rFonts w:ascii="Times New Roman" w:hAnsi="Times New Roman" w:cs="Times New Roman"/>
          <w:b/>
          <w:i/>
          <w:sz w:val="24"/>
          <w:szCs w:val="24"/>
        </w:rPr>
        <w:t>Torella</w:t>
      </w:r>
      <w:proofErr w:type="spellEnd"/>
    </w:p>
    <w:p w:rsidR="00D06A43" w:rsidRPr="00E13883" w:rsidRDefault="004A68BD" w:rsidP="00880DF6">
      <w:pPr>
        <w:ind w:firstLine="720"/>
        <w:rPr>
          <w:rFonts w:ascii="Times New Roman" w:hAnsi="Times New Roman" w:cs="Times New Roman"/>
          <w:b/>
          <w:i/>
          <w:sz w:val="24"/>
          <w:szCs w:val="24"/>
        </w:rPr>
      </w:pPr>
      <w:r>
        <w:rPr>
          <w:rFonts w:ascii="Times New Roman" w:hAnsi="Times New Roman" w:cs="Times New Roman"/>
          <w:b/>
          <w:sz w:val="24"/>
          <w:szCs w:val="24"/>
        </w:rPr>
        <w:t xml:space="preserve">Operation of Motor Vehicle </w:t>
      </w:r>
      <w:proofErr w:type="gramStart"/>
      <w:r>
        <w:rPr>
          <w:rFonts w:ascii="Times New Roman" w:hAnsi="Times New Roman" w:cs="Times New Roman"/>
          <w:b/>
          <w:sz w:val="24"/>
          <w:szCs w:val="24"/>
        </w:rPr>
        <w:t>During</w:t>
      </w:r>
      <w:proofErr w:type="gramEnd"/>
      <w:r>
        <w:rPr>
          <w:rFonts w:ascii="Times New Roman" w:hAnsi="Times New Roman" w:cs="Times New Roman"/>
          <w:b/>
          <w:sz w:val="24"/>
          <w:szCs w:val="24"/>
        </w:rPr>
        <w:t xml:space="preserve"> License Suspension</w:t>
      </w:r>
      <w:r w:rsidR="00951E7B">
        <w:rPr>
          <w:rFonts w:ascii="Times New Roman" w:hAnsi="Times New Roman" w:cs="Times New Roman"/>
          <w:b/>
          <w:sz w:val="24"/>
          <w:szCs w:val="24"/>
        </w:rPr>
        <w:t xml:space="preserve">, N.J.S. </w:t>
      </w:r>
      <w:r>
        <w:rPr>
          <w:rFonts w:ascii="Times New Roman" w:hAnsi="Times New Roman" w:cs="Times New Roman"/>
          <w:b/>
          <w:sz w:val="24"/>
          <w:szCs w:val="24"/>
        </w:rPr>
        <w:t>2C</w:t>
      </w:r>
      <w:r w:rsidR="00951E7B">
        <w:rPr>
          <w:rFonts w:ascii="Times New Roman" w:hAnsi="Times New Roman" w:cs="Times New Roman"/>
          <w:b/>
          <w:sz w:val="24"/>
          <w:szCs w:val="24"/>
        </w:rPr>
        <w:t>:</w:t>
      </w:r>
      <w:r>
        <w:rPr>
          <w:rFonts w:ascii="Times New Roman" w:hAnsi="Times New Roman" w:cs="Times New Roman"/>
          <w:b/>
          <w:sz w:val="24"/>
          <w:szCs w:val="24"/>
        </w:rPr>
        <w:t>40</w:t>
      </w:r>
      <w:r w:rsidR="00951E7B">
        <w:rPr>
          <w:rFonts w:ascii="Times New Roman" w:hAnsi="Times New Roman" w:cs="Times New Roman"/>
          <w:b/>
          <w:sz w:val="24"/>
          <w:szCs w:val="24"/>
        </w:rPr>
        <w:t>-</w:t>
      </w:r>
      <w:r>
        <w:rPr>
          <w:rFonts w:ascii="Times New Roman" w:hAnsi="Times New Roman" w:cs="Times New Roman"/>
          <w:b/>
          <w:sz w:val="24"/>
          <w:szCs w:val="24"/>
        </w:rPr>
        <w:t>26</w:t>
      </w:r>
    </w:p>
    <w:p w:rsidR="00D06A43" w:rsidRDefault="00D06A43" w:rsidP="00D06A43">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A63C75">
        <w:rPr>
          <w:rFonts w:ascii="Times New Roman" w:hAnsi="Times New Roman" w:cs="Times New Roman"/>
          <w:b/>
          <w:sz w:val="24"/>
          <w:szCs w:val="24"/>
        </w:rPr>
        <w:t>October 10</w:t>
      </w:r>
      <w:r>
        <w:rPr>
          <w:rFonts w:ascii="Times New Roman" w:hAnsi="Times New Roman" w:cs="Times New Roman"/>
          <w:b/>
          <w:sz w:val="24"/>
          <w:szCs w:val="24"/>
        </w:rPr>
        <w:t>, 2017</w:t>
      </w:r>
    </w:p>
    <w:p w:rsidR="00D06A43" w:rsidRDefault="00D06A43" w:rsidP="00D06A43">
      <w:pPr>
        <w:tabs>
          <w:tab w:val="left" w:pos="1945"/>
        </w:tabs>
        <w:rPr>
          <w:rFonts w:ascii="Times New Roman" w:hAnsi="Times New Roman" w:cs="Times New Roman"/>
          <w:sz w:val="24"/>
          <w:szCs w:val="24"/>
        </w:rPr>
      </w:pPr>
      <w:r>
        <w:rPr>
          <w:rFonts w:ascii="Times New Roman" w:hAnsi="Times New Roman" w:cs="Times New Roman"/>
          <w:sz w:val="24"/>
          <w:szCs w:val="24"/>
        </w:rPr>
        <w:tab/>
      </w:r>
    </w:p>
    <w:p w:rsidR="00D06A43" w:rsidRDefault="00D06A43" w:rsidP="00D06A43">
      <w:pPr>
        <w:jc w:val="center"/>
        <w:rPr>
          <w:rFonts w:ascii="Times New Roman" w:hAnsi="Times New Roman" w:cs="Times New Roman"/>
          <w:sz w:val="24"/>
          <w:szCs w:val="24"/>
        </w:rPr>
      </w:pPr>
      <w:r>
        <w:rPr>
          <w:rFonts w:ascii="Times New Roman" w:hAnsi="Times New Roman" w:cs="Times New Roman"/>
          <w:b/>
          <w:sz w:val="24"/>
          <w:szCs w:val="24"/>
        </w:rPr>
        <w:t>M E M O R A N D U M</w:t>
      </w:r>
    </w:p>
    <w:p w:rsidR="00D06A43" w:rsidRDefault="00D06A43" w:rsidP="00D06A43">
      <w:pPr>
        <w:jc w:val="center"/>
        <w:rPr>
          <w:rFonts w:ascii="Times New Roman" w:hAnsi="Times New Roman" w:cs="Times New Roman"/>
          <w:sz w:val="24"/>
          <w:szCs w:val="24"/>
        </w:rPr>
      </w:pPr>
    </w:p>
    <w:p w:rsidR="00D06A43" w:rsidRDefault="00D06A43" w:rsidP="00D06A43">
      <w:pPr>
        <w:jc w:val="center"/>
        <w:rPr>
          <w:rFonts w:ascii="Times New Roman" w:hAnsi="Times New Roman" w:cs="Times New Roman"/>
          <w:sz w:val="24"/>
          <w:szCs w:val="24"/>
        </w:rPr>
      </w:pPr>
      <w:r>
        <w:rPr>
          <w:rFonts w:ascii="Times New Roman" w:hAnsi="Times New Roman" w:cs="Times New Roman"/>
          <w:b/>
          <w:sz w:val="24"/>
          <w:szCs w:val="24"/>
        </w:rPr>
        <w:t>Executive Summary</w:t>
      </w:r>
    </w:p>
    <w:p w:rsidR="00D06A43" w:rsidRDefault="00D06A43" w:rsidP="00D06A43">
      <w:pPr>
        <w:jc w:val="center"/>
        <w:rPr>
          <w:rFonts w:ascii="Times New Roman" w:hAnsi="Times New Roman" w:cs="Times New Roman"/>
          <w:sz w:val="24"/>
          <w:szCs w:val="24"/>
        </w:rPr>
      </w:pPr>
    </w:p>
    <w:p w:rsidR="007D58C8" w:rsidRDefault="00951E7B" w:rsidP="007D58C8">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0F35B2">
        <w:rPr>
          <w:rFonts w:ascii="Times New Roman" w:hAnsi="Times New Roman" w:cs="Times New Roman"/>
          <w:i/>
          <w:sz w:val="24"/>
          <w:szCs w:val="24"/>
        </w:rPr>
        <w:t xml:space="preserve">State v. </w:t>
      </w:r>
      <w:proofErr w:type="spellStart"/>
      <w:r w:rsidR="000F35B2">
        <w:rPr>
          <w:rFonts w:ascii="Times New Roman" w:hAnsi="Times New Roman" w:cs="Times New Roman"/>
          <w:i/>
          <w:sz w:val="24"/>
          <w:szCs w:val="24"/>
        </w:rPr>
        <w:t>Torella</w:t>
      </w:r>
      <w:proofErr w:type="spellEnd"/>
      <w:r w:rsidR="000F35B2" w:rsidRPr="000F35B2">
        <w:rPr>
          <w:rFonts w:ascii="Times New Roman" w:hAnsi="Times New Roman" w:cs="Times New Roman"/>
          <w:sz w:val="24"/>
          <w:szCs w:val="24"/>
        </w:rPr>
        <w:t>,</w:t>
      </w:r>
      <w:r w:rsidR="00D06A43" w:rsidRPr="00951E7B">
        <w:rPr>
          <w:rStyle w:val="FootnoteReference"/>
          <w:rFonts w:cs="Times New Roman"/>
          <w:sz w:val="24"/>
          <w:szCs w:val="24"/>
        </w:rPr>
        <w:footnoteReference w:id="1"/>
      </w:r>
      <w:r w:rsidR="00D06A43" w:rsidRPr="00951E7B">
        <w:rPr>
          <w:rFonts w:ascii="Times New Roman" w:hAnsi="Times New Roman" w:cs="Times New Roman"/>
          <w:i/>
          <w:sz w:val="24"/>
          <w:szCs w:val="24"/>
        </w:rPr>
        <w:t xml:space="preserve"> </w:t>
      </w:r>
      <w:r w:rsidR="00D06A43">
        <w:rPr>
          <w:rFonts w:ascii="Times New Roman" w:hAnsi="Times New Roman" w:cs="Times New Roman"/>
          <w:sz w:val="24"/>
          <w:szCs w:val="24"/>
        </w:rPr>
        <w:t xml:space="preserve">the Appellate Division considered </w:t>
      </w:r>
      <w:r>
        <w:rPr>
          <w:rFonts w:ascii="Times New Roman" w:hAnsi="Times New Roman" w:cs="Times New Roman"/>
          <w:sz w:val="24"/>
          <w:szCs w:val="24"/>
        </w:rPr>
        <w:t xml:space="preserve">the </w:t>
      </w:r>
      <w:r w:rsidR="000F35B2">
        <w:rPr>
          <w:rFonts w:ascii="Times New Roman" w:hAnsi="Times New Roman" w:cs="Times New Roman"/>
          <w:sz w:val="24"/>
          <w:szCs w:val="24"/>
        </w:rPr>
        <w:t xml:space="preserve">proper interpretation of N.J.S. 2C:40-26, regarding the criminality of driving with a license </w:t>
      </w:r>
      <w:r w:rsidR="0065715B">
        <w:rPr>
          <w:rFonts w:ascii="Times New Roman" w:hAnsi="Times New Roman" w:cs="Times New Roman"/>
          <w:sz w:val="24"/>
          <w:szCs w:val="24"/>
        </w:rPr>
        <w:t>between a period of</w:t>
      </w:r>
      <w:r w:rsidR="000F35B2">
        <w:rPr>
          <w:rFonts w:ascii="Times New Roman" w:hAnsi="Times New Roman" w:cs="Times New Roman"/>
          <w:sz w:val="24"/>
          <w:szCs w:val="24"/>
        </w:rPr>
        <w:t xml:space="preserve"> suspen</w:t>
      </w:r>
      <w:r w:rsidR="0065715B">
        <w:rPr>
          <w:rFonts w:ascii="Times New Roman" w:hAnsi="Times New Roman" w:cs="Times New Roman"/>
          <w:sz w:val="24"/>
          <w:szCs w:val="24"/>
        </w:rPr>
        <w:t>sion</w:t>
      </w:r>
      <w:r w:rsidR="000F35B2">
        <w:rPr>
          <w:rFonts w:ascii="Times New Roman" w:hAnsi="Times New Roman" w:cs="Times New Roman"/>
          <w:sz w:val="24"/>
          <w:szCs w:val="24"/>
        </w:rPr>
        <w:t xml:space="preserve"> and r</w:t>
      </w:r>
      <w:r w:rsidR="0065715B">
        <w:rPr>
          <w:rFonts w:ascii="Times New Roman" w:hAnsi="Times New Roman" w:cs="Times New Roman"/>
          <w:sz w:val="24"/>
          <w:szCs w:val="24"/>
        </w:rPr>
        <w:t>einstatement</w:t>
      </w:r>
      <w:r w:rsidR="000F35B2">
        <w:rPr>
          <w:rFonts w:ascii="Times New Roman" w:hAnsi="Times New Roman" w:cs="Times New Roman"/>
          <w:sz w:val="24"/>
          <w:szCs w:val="24"/>
        </w:rPr>
        <w:t>.</w:t>
      </w:r>
    </w:p>
    <w:p w:rsidR="007D58C8" w:rsidRDefault="007D58C8" w:rsidP="007D58C8">
      <w:pPr>
        <w:spacing w:line="276" w:lineRule="auto"/>
        <w:ind w:firstLine="720"/>
        <w:jc w:val="both"/>
        <w:rPr>
          <w:rFonts w:ascii="Times New Roman" w:hAnsi="Times New Roman" w:cs="Times New Roman"/>
          <w:sz w:val="24"/>
          <w:szCs w:val="24"/>
        </w:rPr>
      </w:pPr>
    </w:p>
    <w:p w:rsidR="00D06A43" w:rsidRDefault="00B71D5E" w:rsidP="007D58C8">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determined that </w:t>
      </w:r>
      <w:r w:rsidR="0065715B">
        <w:rPr>
          <w:rFonts w:ascii="Times New Roman" w:hAnsi="Times New Roman" w:cs="Times New Roman"/>
          <w:sz w:val="24"/>
          <w:szCs w:val="24"/>
        </w:rPr>
        <w:t xml:space="preserve">driving under such circumstances does not constitute criminal conduct, relying upon the decision in </w:t>
      </w:r>
      <w:r w:rsidR="0065715B">
        <w:rPr>
          <w:rFonts w:ascii="Times New Roman" w:hAnsi="Times New Roman" w:cs="Times New Roman"/>
          <w:i/>
          <w:sz w:val="24"/>
          <w:szCs w:val="24"/>
        </w:rPr>
        <w:t>State v. Perry</w:t>
      </w:r>
      <w:r w:rsidR="0065715B">
        <w:rPr>
          <w:rFonts w:ascii="Times New Roman" w:hAnsi="Times New Roman" w:cs="Times New Roman"/>
          <w:sz w:val="24"/>
          <w:szCs w:val="24"/>
        </w:rPr>
        <w:t>, which states that the statute “criminalizes the operation of a motor vehicle only during the court-ordered period of suspension, not thereafter.”</w:t>
      </w:r>
      <w:r w:rsidR="0065715B">
        <w:rPr>
          <w:rStyle w:val="FootnoteReference"/>
          <w:rFonts w:cs="Times New Roman"/>
          <w:sz w:val="24"/>
          <w:szCs w:val="24"/>
        </w:rPr>
        <w:footnoteReference w:id="2"/>
      </w:r>
    </w:p>
    <w:p w:rsidR="00D06A43" w:rsidRDefault="00D06A43" w:rsidP="00D06A43">
      <w:pPr>
        <w:spacing w:line="276" w:lineRule="auto"/>
        <w:jc w:val="both"/>
        <w:rPr>
          <w:rFonts w:ascii="Times New Roman" w:hAnsi="Times New Roman" w:cs="Times New Roman"/>
          <w:sz w:val="24"/>
          <w:szCs w:val="24"/>
        </w:rPr>
      </w:pPr>
    </w:p>
    <w:p w:rsidR="00D06A43" w:rsidRDefault="00D06A43" w:rsidP="007D58C8">
      <w:pPr>
        <w:spacing w:line="276" w:lineRule="auto"/>
        <w:jc w:val="center"/>
        <w:rPr>
          <w:rFonts w:ascii="Times New Roman" w:hAnsi="Times New Roman" w:cs="Times New Roman"/>
          <w:sz w:val="24"/>
          <w:szCs w:val="24"/>
        </w:rPr>
      </w:pPr>
      <w:r>
        <w:rPr>
          <w:rFonts w:ascii="Times New Roman" w:hAnsi="Times New Roman" w:cs="Times New Roman"/>
          <w:b/>
          <w:sz w:val="24"/>
          <w:szCs w:val="24"/>
        </w:rPr>
        <w:t>Background</w:t>
      </w:r>
    </w:p>
    <w:p w:rsidR="007D58C8" w:rsidRDefault="007D58C8" w:rsidP="007D58C8">
      <w:pPr>
        <w:spacing w:line="276" w:lineRule="auto"/>
        <w:jc w:val="center"/>
        <w:rPr>
          <w:rFonts w:ascii="Times New Roman" w:hAnsi="Times New Roman" w:cs="Times New Roman"/>
          <w:sz w:val="24"/>
          <w:szCs w:val="24"/>
        </w:rPr>
      </w:pPr>
    </w:p>
    <w:p w:rsidR="006A266E" w:rsidRDefault="007D58C8" w:rsidP="00A63C7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case examined whether </w:t>
      </w:r>
      <w:r w:rsidR="007159EC">
        <w:rPr>
          <w:rFonts w:ascii="Times New Roman" w:hAnsi="Times New Roman" w:cs="Times New Roman"/>
          <w:sz w:val="24"/>
          <w:szCs w:val="24"/>
        </w:rPr>
        <w:t xml:space="preserve">an individual may be found criminally liable for driving with a license that had been suspended, after the period of suspension had ended but before the licensed had been formally reinstated. </w:t>
      </w:r>
      <w:proofErr w:type="spellStart"/>
      <w:r w:rsidR="00897A1A">
        <w:rPr>
          <w:rFonts w:ascii="Times New Roman" w:hAnsi="Times New Roman" w:cs="Times New Roman"/>
          <w:sz w:val="24"/>
          <w:szCs w:val="24"/>
        </w:rPr>
        <w:t>Torella</w:t>
      </w:r>
      <w:proofErr w:type="spellEnd"/>
      <w:r w:rsidR="00897A1A">
        <w:rPr>
          <w:rFonts w:ascii="Times New Roman" w:hAnsi="Times New Roman" w:cs="Times New Roman"/>
          <w:sz w:val="24"/>
          <w:szCs w:val="24"/>
        </w:rPr>
        <w:t xml:space="preserve"> had been previously been convicted of a series of DWI offenses in 2001 and 2002, leading to a suspension of his license.</w:t>
      </w:r>
      <w:r w:rsidR="00625825">
        <w:rPr>
          <w:rStyle w:val="FootnoteReference"/>
          <w:rFonts w:cs="Times New Roman"/>
          <w:sz w:val="24"/>
          <w:szCs w:val="24"/>
        </w:rPr>
        <w:footnoteReference w:id="3"/>
      </w:r>
      <w:r w:rsidR="00897A1A">
        <w:rPr>
          <w:rFonts w:ascii="Times New Roman" w:hAnsi="Times New Roman" w:cs="Times New Roman"/>
          <w:sz w:val="24"/>
          <w:szCs w:val="24"/>
        </w:rPr>
        <w:t xml:space="preserve"> He failed to restore his license after the suspension ended, and was arrested twice in 2012 for driving with a suspended license and charged for violation of N.J.S. 2C:40-26(b).</w:t>
      </w:r>
      <w:r w:rsidR="00625825">
        <w:rPr>
          <w:rStyle w:val="FootnoteReference"/>
          <w:rFonts w:cs="Times New Roman"/>
          <w:sz w:val="24"/>
          <w:szCs w:val="24"/>
        </w:rPr>
        <w:footnoteReference w:id="4"/>
      </w:r>
    </w:p>
    <w:p w:rsidR="003A1DA8" w:rsidRDefault="003A1DA8" w:rsidP="00A63C75">
      <w:pPr>
        <w:spacing w:line="276" w:lineRule="auto"/>
        <w:ind w:left="1440" w:right="1440"/>
        <w:jc w:val="both"/>
        <w:rPr>
          <w:rFonts w:ascii="Times New Roman" w:hAnsi="Times New Roman" w:cs="Times New Roman"/>
          <w:sz w:val="24"/>
          <w:szCs w:val="24"/>
        </w:rPr>
      </w:pPr>
    </w:p>
    <w:p w:rsidR="008D23D7" w:rsidRDefault="00897A1A" w:rsidP="00A63C7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This section of the statute reads as follows:</w:t>
      </w:r>
    </w:p>
    <w:p w:rsidR="009959CE" w:rsidRDefault="00956616" w:rsidP="00A63C75">
      <w:pPr>
        <w:spacing w:line="276" w:lineRule="auto"/>
        <w:ind w:left="1440" w:right="1440"/>
        <w:jc w:val="both"/>
        <w:rPr>
          <w:rFonts w:ascii="Times New Roman" w:hAnsi="Times New Roman" w:cs="Times New Roman"/>
          <w:sz w:val="24"/>
          <w:szCs w:val="24"/>
        </w:rPr>
      </w:pPr>
      <w:r w:rsidRPr="00956616">
        <w:rPr>
          <w:rFonts w:ascii="Times New Roman" w:hAnsi="Times New Roman" w:cs="Times New Roman"/>
          <w:sz w:val="24"/>
          <w:szCs w:val="24"/>
        </w:rPr>
        <w:t>It shall be a crime of the fourth degree to operate a motor vehicle during the period of license suspension in violation of </w:t>
      </w:r>
      <w:r w:rsidRPr="007159EC">
        <w:rPr>
          <w:rFonts w:ascii="Times New Roman" w:hAnsi="Times New Roman" w:cs="Times New Roman"/>
          <w:sz w:val="24"/>
          <w:szCs w:val="24"/>
        </w:rPr>
        <w:t>R.S.39:3-40</w:t>
      </w:r>
      <w:r w:rsidRPr="00956616">
        <w:rPr>
          <w:rFonts w:ascii="Times New Roman" w:hAnsi="Times New Roman" w:cs="Times New Roman"/>
          <w:sz w:val="24"/>
          <w:szCs w:val="24"/>
        </w:rPr>
        <w:t>, if the actor’s license was suspended or revoked for a second or subsequent violation of </w:t>
      </w:r>
      <w:r w:rsidRPr="007159EC">
        <w:rPr>
          <w:rFonts w:ascii="Times New Roman" w:hAnsi="Times New Roman" w:cs="Times New Roman"/>
          <w:sz w:val="24"/>
          <w:szCs w:val="24"/>
        </w:rPr>
        <w:t>R.S.39:4-50</w:t>
      </w:r>
      <w:r w:rsidRPr="00956616">
        <w:rPr>
          <w:rFonts w:ascii="Times New Roman" w:hAnsi="Times New Roman" w:cs="Times New Roman"/>
          <w:sz w:val="24"/>
          <w:szCs w:val="24"/>
        </w:rPr>
        <w:t> or section 2 of P.L.1981, c.512 (</w:t>
      </w:r>
      <w:r w:rsidRPr="007159EC">
        <w:rPr>
          <w:rFonts w:ascii="Times New Roman" w:hAnsi="Times New Roman" w:cs="Times New Roman"/>
          <w:sz w:val="24"/>
          <w:szCs w:val="24"/>
        </w:rPr>
        <w:t>C.39:4-50.4a</w:t>
      </w:r>
      <w:r w:rsidRPr="00956616">
        <w:rPr>
          <w:rFonts w:ascii="Times New Roman" w:hAnsi="Times New Roman" w:cs="Times New Roman"/>
          <w:sz w:val="24"/>
          <w:szCs w:val="24"/>
        </w:rPr>
        <w:t>). A person convicted of an offense under this subsection shall be sentenced by the court to a term of imprisonment.</w:t>
      </w:r>
      <w:r w:rsidR="00545EDF">
        <w:rPr>
          <w:rStyle w:val="FootnoteReference"/>
          <w:rFonts w:cs="Times New Roman"/>
          <w:sz w:val="24"/>
          <w:szCs w:val="24"/>
        </w:rPr>
        <w:footnoteReference w:id="5"/>
      </w:r>
    </w:p>
    <w:p w:rsidR="009959CE" w:rsidRDefault="009959CE" w:rsidP="00A63C75">
      <w:pPr>
        <w:spacing w:line="276" w:lineRule="auto"/>
        <w:ind w:firstLine="720"/>
        <w:jc w:val="both"/>
        <w:rPr>
          <w:rFonts w:ascii="Times New Roman" w:hAnsi="Times New Roman" w:cs="Times New Roman"/>
          <w:sz w:val="24"/>
          <w:szCs w:val="24"/>
        </w:rPr>
      </w:pPr>
    </w:p>
    <w:p w:rsidR="007D58C8" w:rsidRPr="00625825" w:rsidRDefault="00897A1A" w:rsidP="00A63C7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interpreted this provision in conjunction with </w:t>
      </w:r>
      <w:r w:rsidR="00625825">
        <w:rPr>
          <w:rFonts w:ascii="Times New Roman" w:hAnsi="Times New Roman" w:cs="Times New Roman"/>
          <w:i/>
          <w:sz w:val="24"/>
          <w:szCs w:val="24"/>
        </w:rPr>
        <w:t>Perry</w:t>
      </w:r>
      <w:r w:rsidR="00625825">
        <w:rPr>
          <w:rFonts w:ascii="Times New Roman" w:hAnsi="Times New Roman" w:cs="Times New Roman"/>
          <w:sz w:val="24"/>
          <w:szCs w:val="24"/>
        </w:rPr>
        <w:t xml:space="preserve">, where the Appellate Division previously </w:t>
      </w:r>
      <w:r w:rsidR="000837A3">
        <w:rPr>
          <w:rFonts w:ascii="Times New Roman" w:hAnsi="Times New Roman" w:cs="Times New Roman"/>
          <w:sz w:val="24"/>
          <w:szCs w:val="24"/>
        </w:rPr>
        <w:t>explained that “[t]</w:t>
      </w:r>
      <w:proofErr w:type="gramStart"/>
      <w:r w:rsidR="000837A3">
        <w:rPr>
          <w:rFonts w:ascii="Times New Roman" w:hAnsi="Times New Roman" w:cs="Times New Roman"/>
          <w:sz w:val="24"/>
          <w:szCs w:val="24"/>
        </w:rPr>
        <w:t>he</w:t>
      </w:r>
      <w:proofErr w:type="gramEnd"/>
      <w:r w:rsidR="000837A3">
        <w:rPr>
          <w:rFonts w:ascii="Times New Roman" w:hAnsi="Times New Roman" w:cs="Times New Roman"/>
          <w:sz w:val="24"/>
          <w:szCs w:val="24"/>
        </w:rPr>
        <w:t xml:space="preserve"> statute is silent as to those driving without reinstatement beyond the court-imposed term of suspension” and that “[h]</w:t>
      </w:r>
      <w:proofErr w:type="spellStart"/>
      <w:r w:rsidR="000837A3">
        <w:rPr>
          <w:rFonts w:ascii="Times New Roman" w:hAnsi="Times New Roman" w:cs="Times New Roman"/>
          <w:sz w:val="24"/>
          <w:szCs w:val="24"/>
        </w:rPr>
        <w:t>ad</w:t>
      </w:r>
      <w:proofErr w:type="spellEnd"/>
      <w:r w:rsidR="000837A3">
        <w:rPr>
          <w:rFonts w:ascii="Times New Roman" w:hAnsi="Times New Roman" w:cs="Times New Roman"/>
          <w:sz w:val="24"/>
          <w:szCs w:val="24"/>
        </w:rPr>
        <w:t xml:space="preserve"> the Legislature intended to include those persons, the necessary language could have easily been included in both sections of the law.”</w:t>
      </w:r>
      <w:r w:rsidR="000837A3">
        <w:rPr>
          <w:rStyle w:val="FootnoteReference"/>
          <w:rFonts w:cs="Times New Roman"/>
          <w:sz w:val="24"/>
          <w:szCs w:val="24"/>
        </w:rPr>
        <w:footnoteReference w:id="6"/>
      </w:r>
      <w:r w:rsidR="0059554B">
        <w:rPr>
          <w:rFonts w:ascii="Times New Roman" w:hAnsi="Times New Roman" w:cs="Times New Roman"/>
          <w:sz w:val="24"/>
          <w:szCs w:val="24"/>
        </w:rPr>
        <w:t xml:space="preserve"> Accordingly, the court held that the statute does not criminalize </w:t>
      </w:r>
      <w:proofErr w:type="spellStart"/>
      <w:r w:rsidR="0059554B">
        <w:rPr>
          <w:rFonts w:ascii="Times New Roman" w:hAnsi="Times New Roman" w:cs="Times New Roman"/>
          <w:sz w:val="24"/>
          <w:szCs w:val="24"/>
        </w:rPr>
        <w:t>Torella’s</w:t>
      </w:r>
      <w:proofErr w:type="spellEnd"/>
      <w:r w:rsidR="0059554B">
        <w:rPr>
          <w:rFonts w:ascii="Times New Roman" w:hAnsi="Times New Roman" w:cs="Times New Roman"/>
          <w:sz w:val="24"/>
          <w:szCs w:val="24"/>
        </w:rPr>
        <w:t xml:space="preserve"> conduct, and determined that finding otherwise “would be to engraft additional terms onto the statute that the Legislature did not intend to include and to expand the list of potential prosecutions beyond the scope of the plain language.”</w:t>
      </w:r>
      <w:r w:rsidR="0059554B">
        <w:rPr>
          <w:rStyle w:val="FootnoteReference"/>
          <w:rFonts w:cs="Times New Roman"/>
          <w:sz w:val="24"/>
          <w:szCs w:val="24"/>
        </w:rPr>
        <w:footnoteReference w:id="7"/>
      </w:r>
    </w:p>
    <w:p w:rsidR="007D58C8" w:rsidRPr="007D58C8" w:rsidRDefault="007D58C8" w:rsidP="007D58C8">
      <w:pPr>
        <w:spacing w:line="276" w:lineRule="auto"/>
        <w:jc w:val="center"/>
        <w:rPr>
          <w:rFonts w:ascii="Times New Roman" w:hAnsi="Times New Roman" w:cs="Times New Roman"/>
          <w:sz w:val="24"/>
          <w:szCs w:val="24"/>
        </w:rPr>
      </w:pPr>
    </w:p>
    <w:p w:rsidR="00D06A43" w:rsidRDefault="00D06A43" w:rsidP="00D06A4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rsidR="00850034" w:rsidRDefault="00850034" w:rsidP="001942A3">
      <w:pPr>
        <w:spacing w:line="276" w:lineRule="auto"/>
        <w:ind w:firstLine="720"/>
        <w:jc w:val="both"/>
        <w:rPr>
          <w:rFonts w:ascii="Times New Roman" w:eastAsia="Times New Roman" w:hAnsi="Times New Roman" w:cs="Times New Roman"/>
          <w:sz w:val="24"/>
          <w:szCs w:val="24"/>
        </w:rPr>
      </w:pPr>
    </w:p>
    <w:p w:rsidR="007D4E5C" w:rsidRDefault="0059554B" w:rsidP="001942A3">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language of the statute is not particularly </w:t>
      </w:r>
      <w:r w:rsidR="00A06E66">
        <w:rPr>
          <w:rFonts w:ascii="Times New Roman" w:eastAsia="Times New Roman" w:hAnsi="Times New Roman" w:cs="Times New Roman"/>
          <w:sz w:val="24"/>
          <w:szCs w:val="24"/>
        </w:rPr>
        <w:t>specific and has sparked a fair amount of litigation over its interpretation.</w:t>
      </w:r>
      <w:r w:rsidR="00A06E66">
        <w:rPr>
          <w:rStyle w:val="FootnoteReference"/>
          <w:rFonts w:eastAsia="Times New Roman" w:cs="Times New Roman"/>
          <w:sz w:val="24"/>
          <w:szCs w:val="24"/>
        </w:rPr>
        <w:footnoteReference w:id="8"/>
      </w:r>
      <w:r w:rsidR="001942A3">
        <w:rPr>
          <w:rFonts w:ascii="Times New Roman" w:eastAsia="Times New Roman" w:hAnsi="Times New Roman" w:cs="Times New Roman"/>
          <w:sz w:val="24"/>
          <w:szCs w:val="24"/>
        </w:rPr>
        <w:t xml:space="preserve"> Modifying the statute would serve to clear up what </w:t>
      </w:r>
      <w:r w:rsidR="00F13E93">
        <w:rPr>
          <w:rFonts w:ascii="Times New Roman" w:eastAsia="Times New Roman" w:hAnsi="Times New Roman" w:cs="Times New Roman"/>
          <w:sz w:val="24"/>
          <w:szCs w:val="24"/>
        </w:rPr>
        <w:t>has</w:t>
      </w:r>
      <w:r w:rsidR="001942A3">
        <w:rPr>
          <w:rFonts w:ascii="Times New Roman" w:eastAsia="Times New Roman" w:hAnsi="Times New Roman" w:cs="Times New Roman"/>
          <w:sz w:val="24"/>
          <w:szCs w:val="24"/>
        </w:rPr>
        <w:t xml:space="preserve"> become a contentious debate, resolving</w:t>
      </w:r>
      <w:bookmarkStart w:id="0" w:name="_GoBack"/>
      <w:bookmarkEnd w:id="0"/>
      <w:r w:rsidR="001942A3">
        <w:rPr>
          <w:rFonts w:ascii="Times New Roman" w:eastAsia="Times New Roman" w:hAnsi="Times New Roman" w:cs="Times New Roman"/>
          <w:sz w:val="24"/>
          <w:szCs w:val="24"/>
        </w:rPr>
        <w:t xml:space="preserve"> the matter either </w:t>
      </w:r>
      <w:r w:rsidR="00F13E93">
        <w:rPr>
          <w:rFonts w:ascii="Times New Roman" w:eastAsia="Times New Roman" w:hAnsi="Times New Roman" w:cs="Times New Roman"/>
          <w:sz w:val="24"/>
          <w:szCs w:val="24"/>
        </w:rPr>
        <w:t>by either codifying</w:t>
      </w:r>
      <w:r w:rsidR="00F25056">
        <w:rPr>
          <w:rFonts w:ascii="Times New Roman" w:eastAsia="Times New Roman" w:hAnsi="Times New Roman" w:cs="Times New Roman"/>
          <w:sz w:val="24"/>
          <w:szCs w:val="24"/>
        </w:rPr>
        <w:t xml:space="preserve"> the holding in </w:t>
      </w:r>
      <w:r w:rsidR="00F25056">
        <w:rPr>
          <w:rFonts w:ascii="Times New Roman" w:eastAsia="Times New Roman" w:hAnsi="Times New Roman" w:cs="Times New Roman"/>
          <w:i/>
          <w:sz w:val="24"/>
          <w:szCs w:val="24"/>
        </w:rPr>
        <w:t xml:space="preserve">Perry </w:t>
      </w:r>
      <w:r w:rsidR="00F25056">
        <w:rPr>
          <w:rFonts w:ascii="Times New Roman" w:eastAsia="Times New Roman" w:hAnsi="Times New Roman" w:cs="Times New Roman"/>
          <w:sz w:val="24"/>
          <w:szCs w:val="24"/>
        </w:rPr>
        <w:t xml:space="preserve">and its application in </w:t>
      </w:r>
      <w:proofErr w:type="spellStart"/>
      <w:r w:rsidR="00F25056">
        <w:rPr>
          <w:rFonts w:ascii="Times New Roman" w:eastAsia="Times New Roman" w:hAnsi="Times New Roman" w:cs="Times New Roman"/>
          <w:i/>
          <w:sz w:val="24"/>
          <w:szCs w:val="24"/>
        </w:rPr>
        <w:t>Torella</w:t>
      </w:r>
      <w:proofErr w:type="spellEnd"/>
      <w:r w:rsidR="001942A3">
        <w:rPr>
          <w:rFonts w:ascii="Times New Roman" w:eastAsia="Times New Roman" w:hAnsi="Times New Roman" w:cs="Times New Roman"/>
          <w:sz w:val="24"/>
          <w:szCs w:val="24"/>
        </w:rPr>
        <w:t xml:space="preserve"> (to continue to criminalize driving only while the license is suspended) or </w:t>
      </w:r>
      <w:r w:rsidR="00F25056">
        <w:rPr>
          <w:rFonts w:ascii="Times New Roman" w:eastAsia="Times New Roman" w:hAnsi="Times New Roman" w:cs="Times New Roman"/>
          <w:sz w:val="24"/>
          <w:szCs w:val="24"/>
        </w:rPr>
        <w:t xml:space="preserve">to re-frame the statute </w:t>
      </w:r>
      <w:r w:rsidR="001942A3">
        <w:rPr>
          <w:rFonts w:ascii="Times New Roman" w:eastAsia="Times New Roman" w:hAnsi="Times New Roman" w:cs="Times New Roman"/>
          <w:sz w:val="24"/>
          <w:szCs w:val="24"/>
        </w:rPr>
        <w:t xml:space="preserve">in the stricter manner in which prosecutors have </w:t>
      </w:r>
      <w:r w:rsidR="00F25056">
        <w:rPr>
          <w:rFonts w:ascii="Times New Roman" w:eastAsia="Times New Roman" w:hAnsi="Times New Roman" w:cs="Times New Roman"/>
          <w:sz w:val="24"/>
          <w:szCs w:val="24"/>
        </w:rPr>
        <w:t>read</w:t>
      </w:r>
      <w:r w:rsidR="001942A3">
        <w:rPr>
          <w:rFonts w:ascii="Times New Roman" w:eastAsia="Times New Roman" w:hAnsi="Times New Roman" w:cs="Times New Roman"/>
          <w:sz w:val="24"/>
          <w:szCs w:val="24"/>
        </w:rPr>
        <w:t xml:space="preserve"> it (requiring drivers</w:t>
      </w:r>
      <w:r w:rsidR="00F13E93">
        <w:rPr>
          <w:rFonts w:ascii="Times New Roman" w:eastAsia="Times New Roman" w:hAnsi="Times New Roman" w:cs="Times New Roman"/>
          <w:sz w:val="24"/>
          <w:szCs w:val="24"/>
        </w:rPr>
        <w:t xml:space="preserve"> to always pursue formal reinstatement</w:t>
      </w:r>
      <w:r w:rsidR="00554B2A">
        <w:rPr>
          <w:rFonts w:ascii="Times New Roman" w:eastAsia="Times New Roman" w:hAnsi="Times New Roman" w:cs="Times New Roman"/>
          <w:sz w:val="24"/>
          <w:szCs w:val="24"/>
        </w:rPr>
        <w:t>).</w:t>
      </w:r>
    </w:p>
    <w:p w:rsidR="00CA18D2" w:rsidRDefault="00CA18D2" w:rsidP="001942A3">
      <w:pPr>
        <w:spacing w:line="276" w:lineRule="auto"/>
        <w:ind w:firstLine="720"/>
        <w:jc w:val="both"/>
        <w:rPr>
          <w:rFonts w:ascii="Times New Roman" w:eastAsia="Times New Roman" w:hAnsi="Times New Roman" w:cs="Times New Roman"/>
          <w:sz w:val="24"/>
          <w:szCs w:val="24"/>
        </w:rPr>
      </w:pPr>
    </w:p>
    <w:p w:rsidR="00642B75" w:rsidRPr="00F42BA8" w:rsidRDefault="00642B75" w:rsidP="00642B75">
      <w:pPr>
        <w:spacing w:line="276"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Staff seeks authorization to conduct additional research and outreach to determine whether modifying N.J.S. 2C:40-26 to clarify whether one may drive with a license that had been suspended before the license is formally reinstated without facing criminal liability would aid in interpreting the law and potentially eliminate the need for further litigation regarding the issue raised in </w:t>
      </w:r>
      <w:r>
        <w:rPr>
          <w:rFonts w:ascii="Times New Roman" w:eastAsia="Times New Roman" w:hAnsi="Times New Roman" w:cs="Times New Roman"/>
          <w:i/>
          <w:sz w:val="24"/>
          <w:szCs w:val="24"/>
        </w:rPr>
        <w:t xml:space="preserve">State v. </w:t>
      </w:r>
      <w:proofErr w:type="spellStart"/>
      <w:r>
        <w:rPr>
          <w:rFonts w:ascii="Times New Roman" w:eastAsia="Times New Roman" w:hAnsi="Times New Roman" w:cs="Times New Roman"/>
          <w:i/>
          <w:sz w:val="24"/>
          <w:szCs w:val="24"/>
        </w:rPr>
        <w:t>Torella</w:t>
      </w:r>
      <w:proofErr w:type="spellEnd"/>
      <w:r>
        <w:rPr>
          <w:rFonts w:ascii="Times New Roman" w:eastAsia="Times New Roman" w:hAnsi="Times New Roman" w:cs="Times New Roman"/>
          <w:i/>
          <w:sz w:val="24"/>
          <w:szCs w:val="24"/>
        </w:rPr>
        <w:t>.</w:t>
      </w:r>
    </w:p>
    <w:p w:rsidR="00853A15" w:rsidRPr="00D434A6" w:rsidRDefault="00853A15" w:rsidP="00E17134">
      <w:pPr>
        <w:spacing w:line="276" w:lineRule="auto"/>
        <w:ind w:firstLine="720"/>
        <w:jc w:val="both"/>
        <w:rPr>
          <w:rFonts w:ascii="Times New Roman" w:eastAsia="Times New Roman" w:hAnsi="Times New Roman" w:cs="Times New Roman"/>
          <w:sz w:val="24"/>
          <w:szCs w:val="24"/>
        </w:rPr>
      </w:pPr>
    </w:p>
    <w:sectPr w:rsidR="00853A15" w:rsidRPr="00D434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A43" w:rsidRDefault="00D06A43" w:rsidP="00D06A43">
      <w:r>
        <w:separator/>
      </w:r>
    </w:p>
  </w:endnote>
  <w:endnote w:type="continuationSeparator" w:id="0">
    <w:p w:rsidR="00D06A43" w:rsidRDefault="00D06A43" w:rsidP="00D0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B2" w:rsidRPr="000F35B2" w:rsidRDefault="000F35B2" w:rsidP="000F35B2">
    <w:pPr>
      <w:pStyle w:val="Footer"/>
      <w:jc w:val="center"/>
      <w:rPr>
        <w:rFonts w:ascii="Times New Roman" w:hAnsi="Times New Roman" w:cs="Times New Roman"/>
        <w:sz w:val="20"/>
        <w:szCs w:val="20"/>
      </w:rPr>
    </w:pPr>
    <w:r w:rsidRPr="000F35B2">
      <w:rPr>
        <w:rFonts w:ascii="Times New Roman" w:hAnsi="Times New Roman" w:cs="Times New Roman"/>
        <w:i/>
        <w:sz w:val="20"/>
        <w:szCs w:val="20"/>
      </w:rPr>
      <w:t xml:space="preserve">State v. </w:t>
    </w:r>
    <w:proofErr w:type="spellStart"/>
    <w:r w:rsidRPr="000F35B2">
      <w:rPr>
        <w:rFonts w:ascii="Times New Roman" w:hAnsi="Times New Roman" w:cs="Times New Roman"/>
        <w:i/>
        <w:sz w:val="20"/>
        <w:szCs w:val="20"/>
      </w:rPr>
      <w:t>Torella</w:t>
    </w:r>
    <w:proofErr w:type="spellEnd"/>
    <w:r w:rsidRPr="000F35B2">
      <w:rPr>
        <w:rFonts w:ascii="Times New Roman" w:hAnsi="Times New Roman" w:cs="Times New Roman"/>
        <w:sz w:val="20"/>
        <w:szCs w:val="20"/>
      </w:rPr>
      <w:t>: Operation of Motor Vehicle During License Suspension, N.J.S. 2C:40-26</w:t>
    </w:r>
  </w:p>
  <w:p w:rsidR="00E13883" w:rsidRPr="00E13883" w:rsidRDefault="00A63C75" w:rsidP="00E13883">
    <w:pPr>
      <w:pStyle w:val="Footer"/>
      <w:jc w:val="center"/>
      <w:rPr>
        <w:rFonts w:ascii="Times New Roman" w:hAnsi="Times New Roman" w:cs="Times New Roman"/>
        <w:sz w:val="20"/>
        <w:szCs w:val="20"/>
      </w:rPr>
    </w:pPr>
    <w:r>
      <w:rPr>
        <w:rFonts w:ascii="Times New Roman" w:hAnsi="Times New Roman" w:cs="Times New Roman"/>
        <w:sz w:val="20"/>
        <w:szCs w:val="20"/>
      </w:rPr>
      <w:t>October 10</w:t>
    </w:r>
    <w:r w:rsidR="00C40DC1" w:rsidRPr="0074698C">
      <w:rPr>
        <w:rFonts w:ascii="Times New Roman" w:hAnsi="Times New Roman" w:cs="Times New Roman"/>
        <w:sz w:val="20"/>
        <w:szCs w:val="20"/>
      </w:rPr>
      <w:t xml:space="preserve">, 2017 – Page </w:t>
    </w:r>
    <w:r w:rsidR="00C40DC1" w:rsidRPr="0074698C">
      <w:rPr>
        <w:rFonts w:ascii="Times New Roman" w:hAnsi="Times New Roman" w:cs="Times New Roman"/>
        <w:sz w:val="20"/>
        <w:szCs w:val="20"/>
      </w:rPr>
      <w:fldChar w:fldCharType="begin"/>
    </w:r>
    <w:r w:rsidR="00C40DC1" w:rsidRPr="0074698C">
      <w:rPr>
        <w:rFonts w:ascii="Times New Roman" w:hAnsi="Times New Roman" w:cs="Times New Roman"/>
        <w:sz w:val="20"/>
        <w:szCs w:val="20"/>
      </w:rPr>
      <w:instrText xml:space="preserve"> PAGE   \* MERGEFORMAT </w:instrText>
    </w:r>
    <w:r w:rsidR="00C40DC1" w:rsidRPr="0074698C">
      <w:rPr>
        <w:rFonts w:ascii="Times New Roman" w:hAnsi="Times New Roman" w:cs="Times New Roman"/>
        <w:sz w:val="20"/>
        <w:szCs w:val="20"/>
      </w:rPr>
      <w:fldChar w:fldCharType="separate"/>
    </w:r>
    <w:r>
      <w:rPr>
        <w:rFonts w:ascii="Times New Roman" w:hAnsi="Times New Roman" w:cs="Times New Roman"/>
        <w:noProof/>
        <w:sz w:val="20"/>
        <w:szCs w:val="20"/>
      </w:rPr>
      <w:t>2</w:t>
    </w:r>
    <w:r w:rsidR="00C40DC1" w:rsidRPr="0074698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A43" w:rsidRDefault="00D06A43" w:rsidP="00D06A43">
      <w:r>
        <w:separator/>
      </w:r>
    </w:p>
  </w:footnote>
  <w:footnote w:type="continuationSeparator" w:id="0">
    <w:p w:rsidR="00D06A43" w:rsidRDefault="00D06A43" w:rsidP="00D06A43">
      <w:r>
        <w:continuationSeparator/>
      </w:r>
    </w:p>
  </w:footnote>
  <w:footnote w:id="1">
    <w:p w:rsidR="00D06A43" w:rsidRPr="00D5058C" w:rsidRDefault="00D06A43" w:rsidP="00D06A43">
      <w:pPr>
        <w:pStyle w:val="FootnoteText"/>
        <w:rPr>
          <w:rFonts w:cs="Times New Roman"/>
        </w:rPr>
      </w:pPr>
      <w:r w:rsidRPr="00D5058C">
        <w:rPr>
          <w:rStyle w:val="FootnoteReference"/>
          <w:rFonts w:cs="Times New Roman"/>
        </w:rPr>
        <w:footnoteRef/>
      </w:r>
      <w:r w:rsidRPr="00D5058C">
        <w:rPr>
          <w:rFonts w:cs="Times New Roman"/>
        </w:rPr>
        <w:t xml:space="preserve"> </w:t>
      </w:r>
      <w:r w:rsidR="00897A1A">
        <w:rPr>
          <w:rFonts w:cs="Times New Roman"/>
        </w:rPr>
        <w:t>2015 WL 11391309</w:t>
      </w:r>
      <w:r w:rsidR="0028259E" w:rsidRPr="00D5058C">
        <w:rPr>
          <w:rFonts w:cs="Times New Roman"/>
        </w:rPr>
        <w:t xml:space="preserve"> (</w:t>
      </w:r>
      <w:r w:rsidR="00897A1A">
        <w:rPr>
          <w:rFonts w:cs="Times New Roman"/>
        </w:rPr>
        <w:t xml:space="preserve">N.J. </w:t>
      </w:r>
      <w:r w:rsidR="0028259E" w:rsidRPr="00D5058C">
        <w:rPr>
          <w:rFonts w:cs="Times New Roman"/>
        </w:rPr>
        <w:t>App. Div. 2016)</w:t>
      </w:r>
      <w:r w:rsidRPr="00D5058C">
        <w:rPr>
          <w:rFonts w:cs="Times New Roman"/>
        </w:rPr>
        <w:t>.</w:t>
      </w:r>
    </w:p>
  </w:footnote>
  <w:footnote w:id="2">
    <w:p w:rsidR="0065715B" w:rsidRPr="00956616" w:rsidRDefault="0065715B">
      <w:pPr>
        <w:pStyle w:val="FootnoteText"/>
      </w:pPr>
      <w:r>
        <w:rPr>
          <w:rStyle w:val="FootnoteReference"/>
        </w:rPr>
        <w:footnoteRef/>
      </w:r>
      <w:r>
        <w:t xml:space="preserve"> State v. Perry, 439</w:t>
      </w:r>
      <w:r w:rsidR="00956616">
        <w:t xml:space="preserve"> N.J. Super. 514 (App. Div.), </w:t>
      </w:r>
      <w:r w:rsidR="00956616">
        <w:rPr>
          <w:i/>
        </w:rPr>
        <w:t>certif. denied</w:t>
      </w:r>
      <w:r w:rsidR="00956616">
        <w:t>, 222 N.J. 306 (2015).</w:t>
      </w:r>
    </w:p>
  </w:footnote>
  <w:footnote w:id="3">
    <w:p w:rsidR="00625825" w:rsidRDefault="00625825">
      <w:pPr>
        <w:pStyle w:val="FootnoteText"/>
      </w:pPr>
      <w:r>
        <w:rPr>
          <w:rStyle w:val="FootnoteReference"/>
        </w:rPr>
        <w:footnoteRef/>
      </w:r>
      <w:r>
        <w:t xml:space="preserve"> 2015 WL 11391309 at *1.</w:t>
      </w:r>
    </w:p>
  </w:footnote>
  <w:footnote w:id="4">
    <w:p w:rsidR="00625825" w:rsidRPr="00625825" w:rsidRDefault="00625825">
      <w:pPr>
        <w:pStyle w:val="FootnoteText"/>
        <w:rPr>
          <w:i/>
        </w:rPr>
      </w:pPr>
      <w:r>
        <w:rPr>
          <w:rStyle w:val="FootnoteReference"/>
        </w:rPr>
        <w:footnoteRef/>
      </w:r>
      <w:r>
        <w:t xml:space="preserve"> </w:t>
      </w:r>
      <w:r>
        <w:rPr>
          <w:i/>
        </w:rPr>
        <w:t>Id.</w:t>
      </w:r>
    </w:p>
  </w:footnote>
  <w:footnote w:id="5">
    <w:p w:rsidR="00545EDF" w:rsidRPr="00625825" w:rsidRDefault="00545EDF">
      <w:pPr>
        <w:pStyle w:val="FootnoteText"/>
      </w:pPr>
      <w:r>
        <w:rPr>
          <w:rStyle w:val="FootnoteReference"/>
        </w:rPr>
        <w:footnoteRef/>
      </w:r>
      <w:r>
        <w:t xml:space="preserve"> </w:t>
      </w:r>
      <w:r w:rsidR="00625825">
        <w:t>N.J.S. 2C:40-26(b).</w:t>
      </w:r>
    </w:p>
  </w:footnote>
  <w:footnote w:id="6">
    <w:p w:rsidR="000837A3" w:rsidRDefault="000837A3">
      <w:pPr>
        <w:pStyle w:val="FootnoteText"/>
      </w:pPr>
      <w:r>
        <w:rPr>
          <w:rStyle w:val="FootnoteReference"/>
        </w:rPr>
        <w:footnoteRef/>
      </w:r>
      <w:r>
        <w:t xml:space="preserve"> </w:t>
      </w:r>
      <w:proofErr w:type="spellStart"/>
      <w:r w:rsidR="00F42BA8">
        <w:rPr>
          <w:i/>
        </w:rPr>
        <w:t>Torella</w:t>
      </w:r>
      <w:proofErr w:type="spellEnd"/>
      <w:r w:rsidR="00F42BA8">
        <w:t>,</w:t>
      </w:r>
      <w:r w:rsidR="00F42BA8">
        <w:rPr>
          <w:i/>
        </w:rPr>
        <w:t xml:space="preserve"> </w:t>
      </w:r>
      <w:r>
        <w:t>2015 WL 11391309 at *3.</w:t>
      </w:r>
    </w:p>
  </w:footnote>
  <w:footnote w:id="7">
    <w:p w:rsidR="0059554B" w:rsidRPr="0059554B" w:rsidRDefault="0059554B">
      <w:pPr>
        <w:pStyle w:val="FootnoteText"/>
      </w:pPr>
      <w:r>
        <w:rPr>
          <w:rStyle w:val="FootnoteReference"/>
        </w:rPr>
        <w:footnoteRef/>
      </w:r>
      <w:r>
        <w:t xml:space="preserve"> </w:t>
      </w:r>
      <w:r>
        <w:rPr>
          <w:i/>
        </w:rPr>
        <w:t xml:space="preserve">Id. </w:t>
      </w:r>
      <w:r>
        <w:t xml:space="preserve">at *3 (citing </w:t>
      </w:r>
      <w:r>
        <w:rPr>
          <w:i/>
        </w:rPr>
        <w:t>Perry</w:t>
      </w:r>
      <w:r>
        <w:t>, 439 N.J. Super. at 525–26.</w:t>
      </w:r>
    </w:p>
  </w:footnote>
  <w:footnote w:id="8">
    <w:p w:rsidR="00A06E66" w:rsidRPr="00A06E66" w:rsidRDefault="00A06E66">
      <w:pPr>
        <w:pStyle w:val="FootnoteText"/>
      </w:pPr>
      <w:r>
        <w:rPr>
          <w:rStyle w:val="FootnoteReference"/>
        </w:rPr>
        <w:footnoteRef/>
      </w:r>
      <w:r>
        <w:t xml:space="preserve"> </w:t>
      </w:r>
      <w:r w:rsidRPr="001942A3">
        <w:rPr>
          <w:i/>
        </w:rPr>
        <w:t>Perry</w:t>
      </w:r>
      <w:r w:rsidR="001942A3">
        <w:t>, for instance,</w:t>
      </w:r>
      <w:r>
        <w:rPr>
          <w:i/>
        </w:rPr>
        <w:t xml:space="preserve"> </w:t>
      </w:r>
      <w:r>
        <w:t xml:space="preserve">was a consolidation of seven cases challenging the interpretation of the statute. </w:t>
      </w:r>
      <w:r>
        <w:rPr>
          <w:i/>
        </w:rPr>
        <w:t xml:space="preserve">Id. </w:t>
      </w:r>
      <w:r>
        <w:t>at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43"/>
    <w:rsid w:val="00001EBE"/>
    <w:rsid w:val="000837A3"/>
    <w:rsid w:val="000E4509"/>
    <w:rsid w:val="000F0600"/>
    <w:rsid w:val="000F35B2"/>
    <w:rsid w:val="00112B35"/>
    <w:rsid w:val="00146AAB"/>
    <w:rsid w:val="001942A3"/>
    <w:rsid w:val="002306D4"/>
    <w:rsid w:val="0028259E"/>
    <w:rsid w:val="002B5DB7"/>
    <w:rsid w:val="003A1DA8"/>
    <w:rsid w:val="0043133E"/>
    <w:rsid w:val="004539CC"/>
    <w:rsid w:val="004A68BD"/>
    <w:rsid w:val="00545EDF"/>
    <w:rsid w:val="00554B2A"/>
    <w:rsid w:val="005920D3"/>
    <w:rsid w:val="0059554B"/>
    <w:rsid w:val="00625825"/>
    <w:rsid w:val="00642B75"/>
    <w:rsid w:val="0065715B"/>
    <w:rsid w:val="00670E32"/>
    <w:rsid w:val="006A112F"/>
    <w:rsid w:val="006A266E"/>
    <w:rsid w:val="00705915"/>
    <w:rsid w:val="00713480"/>
    <w:rsid w:val="007159EC"/>
    <w:rsid w:val="007B5737"/>
    <w:rsid w:val="007D4E5C"/>
    <w:rsid w:val="007D58C8"/>
    <w:rsid w:val="007D7EB7"/>
    <w:rsid w:val="00850034"/>
    <w:rsid w:val="00853A15"/>
    <w:rsid w:val="00880DF6"/>
    <w:rsid w:val="00897A1A"/>
    <w:rsid w:val="008D23D7"/>
    <w:rsid w:val="00951E7B"/>
    <w:rsid w:val="00956616"/>
    <w:rsid w:val="009959CE"/>
    <w:rsid w:val="009F1026"/>
    <w:rsid w:val="00A06E66"/>
    <w:rsid w:val="00A14A61"/>
    <w:rsid w:val="00A63C75"/>
    <w:rsid w:val="00AC79DB"/>
    <w:rsid w:val="00AE3511"/>
    <w:rsid w:val="00B1533D"/>
    <w:rsid w:val="00B71D5E"/>
    <w:rsid w:val="00C40DC1"/>
    <w:rsid w:val="00C60FF4"/>
    <w:rsid w:val="00CA18D2"/>
    <w:rsid w:val="00CB036D"/>
    <w:rsid w:val="00D06A43"/>
    <w:rsid w:val="00D434A6"/>
    <w:rsid w:val="00D45BBD"/>
    <w:rsid w:val="00D5058C"/>
    <w:rsid w:val="00DF5E27"/>
    <w:rsid w:val="00E069C7"/>
    <w:rsid w:val="00E13883"/>
    <w:rsid w:val="00E17134"/>
    <w:rsid w:val="00EF270E"/>
    <w:rsid w:val="00F04298"/>
    <w:rsid w:val="00F13E93"/>
    <w:rsid w:val="00F25056"/>
    <w:rsid w:val="00F2650A"/>
    <w:rsid w:val="00F4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1B88709-BBB1-4287-B74E-20610592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8C"/>
    <w:pPr>
      <w:spacing w:after="0" w:line="240"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58C"/>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5058C"/>
    <w:rPr>
      <w:rFonts w:cstheme="minorBidi"/>
      <w:b w:val="0"/>
      <w:sz w:val="20"/>
      <w:szCs w:val="20"/>
    </w:rPr>
  </w:style>
  <w:style w:type="character" w:styleId="FootnoteReference">
    <w:name w:val="footnote reference"/>
    <w:basedOn w:val="DefaultParagraphFont"/>
    <w:uiPriority w:val="99"/>
    <w:semiHidden/>
    <w:unhideWhenUsed/>
    <w:rsid w:val="00D5058C"/>
    <w:rPr>
      <w:rFonts w:ascii="Times New Roman" w:hAnsi="Times New Roman"/>
      <w:vertAlign w:val="superscript"/>
    </w:rPr>
  </w:style>
  <w:style w:type="paragraph" w:styleId="Footer">
    <w:name w:val="footer"/>
    <w:basedOn w:val="Normal"/>
    <w:link w:val="FooterChar"/>
    <w:uiPriority w:val="99"/>
    <w:unhideWhenUsed/>
    <w:rsid w:val="00D06A43"/>
    <w:pPr>
      <w:tabs>
        <w:tab w:val="center" w:pos="4680"/>
        <w:tab w:val="right" w:pos="9360"/>
      </w:tabs>
    </w:pPr>
  </w:style>
  <w:style w:type="character" w:customStyle="1" w:styleId="FooterChar">
    <w:name w:val="Footer Char"/>
    <w:basedOn w:val="DefaultParagraphFont"/>
    <w:link w:val="Footer"/>
    <w:uiPriority w:val="99"/>
    <w:rsid w:val="00D06A43"/>
    <w:rPr>
      <w:rFonts w:asciiTheme="minorHAnsi" w:hAnsiTheme="minorHAnsi" w:cstheme="minorBidi"/>
      <w:b w:val="0"/>
      <w:sz w:val="22"/>
      <w:szCs w:val="22"/>
    </w:rPr>
  </w:style>
  <w:style w:type="paragraph" w:styleId="Header">
    <w:name w:val="header"/>
    <w:basedOn w:val="Normal"/>
    <w:link w:val="HeaderChar"/>
    <w:uiPriority w:val="99"/>
    <w:unhideWhenUsed/>
    <w:rsid w:val="00C40DC1"/>
    <w:pPr>
      <w:tabs>
        <w:tab w:val="center" w:pos="4680"/>
        <w:tab w:val="right" w:pos="9360"/>
      </w:tabs>
    </w:pPr>
  </w:style>
  <w:style w:type="character" w:customStyle="1" w:styleId="HeaderChar">
    <w:name w:val="Header Char"/>
    <w:basedOn w:val="DefaultParagraphFont"/>
    <w:link w:val="Header"/>
    <w:uiPriority w:val="99"/>
    <w:rsid w:val="00C40DC1"/>
    <w:rPr>
      <w:rFonts w:asciiTheme="minorHAnsi" w:hAnsiTheme="minorHAnsi" w:cstheme="minorBidi"/>
      <w:b w:val="0"/>
      <w:sz w:val="22"/>
      <w:szCs w:val="22"/>
    </w:rPr>
  </w:style>
  <w:style w:type="character" w:styleId="Hyperlink">
    <w:name w:val="Hyperlink"/>
    <w:basedOn w:val="DefaultParagraphFont"/>
    <w:uiPriority w:val="99"/>
    <w:unhideWhenUsed/>
    <w:rsid w:val="00956616"/>
    <w:rPr>
      <w:color w:val="0000FF" w:themeColor="hyperlink"/>
      <w:u w:val="single"/>
    </w:rPr>
  </w:style>
  <w:style w:type="character" w:styleId="PlaceholderText">
    <w:name w:val="Placeholder Text"/>
    <w:basedOn w:val="DefaultParagraphFont"/>
    <w:uiPriority w:val="99"/>
    <w:semiHidden/>
    <w:rsid w:val="0059554B"/>
    <w:rPr>
      <w:color w:val="808080"/>
    </w:rPr>
  </w:style>
  <w:style w:type="paragraph" w:styleId="BalloonText">
    <w:name w:val="Balloon Text"/>
    <w:basedOn w:val="Normal"/>
    <w:link w:val="BalloonTextChar"/>
    <w:uiPriority w:val="99"/>
    <w:semiHidden/>
    <w:unhideWhenUsed/>
    <w:rsid w:val="0059554B"/>
    <w:rPr>
      <w:rFonts w:ascii="Tahoma" w:hAnsi="Tahoma" w:cs="Tahoma"/>
      <w:sz w:val="16"/>
      <w:szCs w:val="16"/>
    </w:rPr>
  </w:style>
  <w:style w:type="character" w:customStyle="1" w:styleId="BalloonTextChar">
    <w:name w:val="Balloon Text Char"/>
    <w:basedOn w:val="DefaultParagraphFont"/>
    <w:link w:val="BalloonText"/>
    <w:uiPriority w:val="99"/>
    <w:semiHidden/>
    <w:rsid w:val="0059554B"/>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762">
      <w:bodyDiv w:val="1"/>
      <w:marLeft w:val="0"/>
      <w:marRight w:val="0"/>
      <w:marTop w:val="0"/>
      <w:marBottom w:val="0"/>
      <w:divBdr>
        <w:top w:val="none" w:sz="0" w:space="0" w:color="auto"/>
        <w:left w:val="none" w:sz="0" w:space="0" w:color="auto"/>
        <w:bottom w:val="none" w:sz="0" w:space="0" w:color="auto"/>
        <w:right w:val="none" w:sz="0" w:space="0" w:color="auto"/>
      </w:divBdr>
    </w:div>
    <w:div w:id="2249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Clerk3</dc:creator>
  <cp:lastModifiedBy>Laura Tharney</cp:lastModifiedBy>
  <cp:revision>3</cp:revision>
  <dcterms:created xsi:type="dcterms:W3CDTF">2017-09-11T17:21:00Z</dcterms:created>
  <dcterms:modified xsi:type="dcterms:W3CDTF">2017-09-11T17:22:00Z</dcterms:modified>
</cp:coreProperties>
</file>