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2A" w:rsidRPr="00431C2A" w:rsidRDefault="00431C2A" w:rsidP="00431C2A">
      <w:pPr>
        <w:rPr>
          <w:rFonts w:ascii="Times New Roman" w:hAnsi="Times New Roman" w:cs="Times New Roman"/>
          <w:b/>
          <w:sz w:val="24"/>
          <w:szCs w:val="24"/>
        </w:rPr>
      </w:pPr>
      <w:r w:rsidRPr="00431C2A">
        <w:rPr>
          <w:rFonts w:ascii="Times New Roman" w:hAnsi="Times New Roman" w:cs="Times New Roman"/>
          <w:b/>
          <w:sz w:val="24"/>
          <w:szCs w:val="24"/>
        </w:rPr>
        <w:t>To:</w:t>
      </w:r>
      <w:r w:rsidRPr="00431C2A">
        <w:rPr>
          <w:rFonts w:ascii="Times New Roman" w:hAnsi="Times New Roman" w:cs="Times New Roman"/>
          <w:b/>
          <w:sz w:val="24"/>
          <w:szCs w:val="24"/>
        </w:rPr>
        <w:tab/>
      </w:r>
      <w:r w:rsidR="00AC3565">
        <w:rPr>
          <w:rFonts w:ascii="Times New Roman" w:hAnsi="Times New Roman" w:cs="Times New Roman"/>
          <w:b/>
          <w:sz w:val="24"/>
          <w:szCs w:val="24"/>
        </w:rPr>
        <w:t>New Jersey Law Revision Commission</w:t>
      </w:r>
    </w:p>
    <w:p w:rsidR="00431C2A" w:rsidRPr="00431C2A" w:rsidRDefault="00431C2A" w:rsidP="00431C2A">
      <w:pPr>
        <w:rPr>
          <w:rFonts w:ascii="Times New Roman" w:hAnsi="Times New Roman" w:cs="Times New Roman"/>
          <w:b/>
          <w:sz w:val="24"/>
          <w:szCs w:val="24"/>
        </w:rPr>
      </w:pPr>
      <w:r w:rsidRPr="00431C2A">
        <w:rPr>
          <w:rFonts w:ascii="Times New Roman" w:hAnsi="Times New Roman" w:cs="Times New Roman"/>
          <w:b/>
          <w:sz w:val="24"/>
          <w:szCs w:val="24"/>
        </w:rPr>
        <w:t>From:</w:t>
      </w:r>
      <w:r w:rsidRPr="00431C2A">
        <w:rPr>
          <w:rFonts w:ascii="Times New Roman" w:hAnsi="Times New Roman" w:cs="Times New Roman"/>
          <w:b/>
          <w:sz w:val="24"/>
          <w:szCs w:val="24"/>
        </w:rPr>
        <w:tab/>
      </w:r>
      <w:r w:rsidR="000556ED">
        <w:rPr>
          <w:rFonts w:ascii="Times New Roman" w:hAnsi="Times New Roman" w:cs="Times New Roman"/>
          <w:b/>
          <w:sz w:val="24"/>
          <w:szCs w:val="24"/>
        </w:rPr>
        <w:t>Wendy Llewellyn</w:t>
      </w:r>
    </w:p>
    <w:p w:rsidR="00431C2A" w:rsidRPr="00AC3565" w:rsidRDefault="00431C2A" w:rsidP="00964C69">
      <w:pPr>
        <w:rPr>
          <w:rFonts w:ascii="Times New Roman" w:hAnsi="Times New Roman" w:cs="Times New Roman"/>
          <w:b/>
          <w:sz w:val="24"/>
          <w:szCs w:val="24"/>
        </w:rPr>
      </w:pPr>
      <w:r w:rsidRPr="00431C2A">
        <w:rPr>
          <w:rFonts w:ascii="Times New Roman" w:hAnsi="Times New Roman" w:cs="Times New Roman"/>
          <w:b/>
          <w:sz w:val="24"/>
          <w:szCs w:val="24"/>
        </w:rPr>
        <w:t>Re:</w:t>
      </w:r>
      <w:r w:rsidRPr="00431C2A">
        <w:rPr>
          <w:rFonts w:ascii="Times New Roman" w:hAnsi="Times New Roman" w:cs="Times New Roman"/>
          <w:b/>
          <w:sz w:val="24"/>
          <w:szCs w:val="24"/>
        </w:rPr>
        <w:tab/>
      </w:r>
      <w:r w:rsidR="00AC3565">
        <w:rPr>
          <w:rFonts w:ascii="Times New Roman" w:hAnsi="Times New Roman" w:cs="Times New Roman"/>
          <w:b/>
          <w:sz w:val="24"/>
          <w:szCs w:val="24"/>
        </w:rPr>
        <w:t xml:space="preserve">Tax refunds - </w:t>
      </w:r>
      <w:r w:rsidR="002725CE">
        <w:rPr>
          <w:rFonts w:ascii="Times New Roman" w:hAnsi="Times New Roman" w:cs="Times New Roman"/>
          <w:b/>
          <w:sz w:val="24"/>
          <w:szCs w:val="24"/>
        </w:rPr>
        <w:t xml:space="preserve">N.J.S. </w:t>
      </w:r>
      <w:r w:rsidR="00890647">
        <w:rPr>
          <w:rFonts w:ascii="Times New Roman" w:hAnsi="Times New Roman" w:cs="Times New Roman"/>
          <w:b/>
          <w:sz w:val="24"/>
          <w:szCs w:val="24"/>
        </w:rPr>
        <w:t>54:4-54</w:t>
      </w:r>
      <w:r w:rsidR="00AC356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C3565">
        <w:rPr>
          <w:rFonts w:ascii="Times New Roman" w:hAnsi="Times New Roman" w:cs="Times New Roman"/>
          <w:b/>
          <w:i/>
          <w:sz w:val="24"/>
          <w:szCs w:val="24"/>
        </w:rPr>
        <w:t>Hanover Floral Co. v. E. Hanover Twp.</w:t>
      </w:r>
      <w:r w:rsidR="00AC3565">
        <w:rPr>
          <w:rFonts w:ascii="Times New Roman" w:hAnsi="Times New Roman" w:cs="Times New Roman"/>
          <w:b/>
          <w:sz w:val="24"/>
          <w:szCs w:val="24"/>
        </w:rPr>
        <w:t>)</w:t>
      </w:r>
    </w:p>
    <w:p w:rsidR="00431C2A" w:rsidRPr="00431C2A" w:rsidRDefault="00870FC7" w:rsidP="00431C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3565">
        <w:rPr>
          <w:rFonts w:ascii="Times New Roman" w:hAnsi="Times New Roman" w:cs="Times New Roman"/>
          <w:b/>
          <w:sz w:val="24"/>
          <w:szCs w:val="24"/>
        </w:rPr>
        <w:t>October 8</w:t>
      </w:r>
      <w:r>
        <w:rPr>
          <w:rFonts w:ascii="Times New Roman" w:hAnsi="Times New Roman" w:cs="Times New Roman"/>
          <w:b/>
          <w:sz w:val="24"/>
          <w:szCs w:val="24"/>
        </w:rPr>
        <w:t>, 2018</w:t>
      </w:r>
    </w:p>
    <w:p w:rsidR="00431C2A" w:rsidRPr="00431C2A" w:rsidRDefault="00431C2A" w:rsidP="00431C2A">
      <w:pPr>
        <w:tabs>
          <w:tab w:val="left" w:pos="1945"/>
        </w:tabs>
        <w:rPr>
          <w:rFonts w:ascii="Times New Roman" w:hAnsi="Times New Roman" w:cs="Times New Roman"/>
          <w:b/>
          <w:sz w:val="24"/>
          <w:szCs w:val="24"/>
        </w:rPr>
      </w:pPr>
      <w:r w:rsidRPr="00431C2A">
        <w:rPr>
          <w:rFonts w:ascii="Times New Roman" w:hAnsi="Times New Roman" w:cs="Times New Roman"/>
          <w:b/>
          <w:sz w:val="24"/>
          <w:szCs w:val="24"/>
        </w:rPr>
        <w:tab/>
      </w:r>
    </w:p>
    <w:p w:rsidR="00431C2A" w:rsidRPr="00431C2A" w:rsidRDefault="00431C2A" w:rsidP="00431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C2A">
        <w:rPr>
          <w:rFonts w:ascii="Times New Roman" w:hAnsi="Times New Roman" w:cs="Times New Roman"/>
          <w:b/>
          <w:sz w:val="24"/>
          <w:szCs w:val="24"/>
        </w:rPr>
        <w:t>M E M O R A N D U M</w:t>
      </w:r>
    </w:p>
    <w:p w:rsidR="00431C2A" w:rsidRPr="00431C2A" w:rsidRDefault="00431C2A" w:rsidP="00431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C2A" w:rsidRPr="00431C2A" w:rsidRDefault="00431C2A" w:rsidP="00431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C2A">
        <w:rPr>
          <w:rFonts w:ascii="Times New Roman" w:hAnsi="Times New Roman" w:cs="Times New Roman"/>
          <w:b/>
          <w:sz w:val="24"/>
          <w:szCs w:val="24"/>
        </w:rPr>
        <w:t>Executive Summary</w:t>
      </w:r>
    </w:p>
    <w:p w:rsidR="00431C2A" w:rsidRDefault="00431C2A" w:rsidP="00431C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C2A" w:rsidRPr="00072663" w:rsidRDefault="00431C2A" w:rsidP="00431C2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890647">
        <w:rPr>
          <w:rFonts w:ascii="Times New Roman" w:hAnsi="Times New Roman" w:cs="Times New Roman"/>
          <w:i/>
          <w:sz w:val="24"/>
          <w:szCs w:val="24"/>
        </w:rPr>
        <w:t>Hanover Floral Co. v. E. Hanover Twp.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FootnoteReference"/>
          <w:sz w:val="24"/>
          <w:szCs w:val="24"/>
        </w:rPr>
        <w:footnoteReference w:id="1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90647">
        <w:rPr>
          <w:rFonts w:ascii="Times New Roman" w:hAnsi="Times New Roman" w:cs="Times New Roman"/>
          <w:sz w:val="24"/>
          <w:szCs w:val="24"/>
        </w:rPr>
        <w:t xml:space="preserve">Tax Court considered, among other issues, whether </w:t>
      </w:r>
      <w:r w:rsidR="0072426B">
        <w:rPr>
          <w:rFonts w:ascii="Times New Roman" w:hAnsi="Times New Roman" w:cs="Times New Roman"/>
          <w:sz w:val="24"/>
          <w:szCs w:val="24"/>
        </w:rPr>
        <w:t>refunding a</w:t>
      </w:r>
      <w:r w:rsidR="005851D7">
        <w:rPr>
          <w:rFonts w:ascii="Times New Roman" w:hAnsi="Times New Roman" w:cs="Times New Roman"/>
          <w:sz w:val="24"/>
          <w:szCs w:val="24"/>
        </w:rPr>
        <w:t xml:space="preserve"> mistakenly-</w:t>
      </w:r>
      <w:r w:rsidR="00890647">
        <w:rPr>
          <w:rFonts w:ascii="Times New Roman" w:hAnsi="Times New Roman" w:cs="Times New Roman"/>
          <w:sz w:val="24"/>
          <w:szCs w:val="24"/>
        </w:rPr>
        <w:t xml:space="preserve">paid property tax is mandatory or </w:t>
      </w:r>
      <w:r w:rsidR="002E7E29">
        <w:rPr>
          <w:rFonts w:ascii="Times New Roman" w:hAnsi="Times New Roman" w:cs="Times New Roman"/>
          <w:sz w:val="24"/>
          <w:szCs w:val="24"/>
        </w:rPr>
        <w:t>permissive under N.J.S. 54:4-54,</w:t>
      </w:r>
      <w:r w:rsidR="00D81779">
        <w:rPr>
          <w:rStyle w:val="FootnoteReference"/>
          <w:rFonts w:cs="Times New Roman"/>
          <w:sz w:val="24"/>
          <w:szCs w:val="24"/>
        </w:rPr>
        <w:footnoteReference w:id="2"/>
      </w:r>
      <w:r w:rsidR="002E7E29">
        <w:rPr>
          <w:rFonts w:ascii="Times New Roman" w:hAnsi="Times New Roman" w:cs="Times New Roman"/>
          <w:sz w:val="24"/>
          <w:szCs w:val="24"/>
        </w:rPr>
        <w:t xml:space="preserve"> and also addressed the three-year statute of limitations </w:t>
      </w:r>
      <w:r w:rsidR="00072663">
        <w:rPr>
          <w:rFonts w:ascii="Times New Roman" w:hAnsi="Times New Roman" w:cs="Times New Roman"/>
          <w:sz w:val="24"/>
          <w:szCs w:val="24"/>
        </w:rPr>
        <w:t xml:space="preserve">under the Appellate Division decision in </w:t>
      </w:r>
      <w:proofErr w:type="spellStart"/>
      <w:r w:rsidR="00072663">
        <w:rPr>
          <w:rFonts w:ascii="Times New Roman" w:hAnsi="Times New Roman" w:cs="Times New Roman"/>
          <w:i/>
          <w:sz w:val="24"/>
          <w:szCs w:val="24"/>
        </w:rPr>
        <w:t>Cerame</w:t>
      </w:r>
      <w:proofErr w:type="spellEnd"/>
      <w:r w:rsidR="00072663">
        <w:rPr>
          <w:rFonts w:ascii="Times New Roman" w:hAnsi="Times New Roman" w:cs="Times New Roman"/>
          <w:sz w:val="24"/>
          <w:szCs w:val="24"/>
        </w:rPr>
        <w:t>.</w:t>
      </w:r>
      <w:r w:rsidR="00072663">
        <w:rPr>
          <w:rStyle w:val="FootnoteReference"/>
          <w:rFonts w:cs="Times New Roman"/>
          <w:sz w:val="24"/>
          <w:szCs w:val="24"/>
        </w:rPr>
        <w:footnoteReference w:id="3"/>
      </w:r>
    </w:p>
    <w:p w:rsidR="00431C2A" w:rsidRDefault="00431C2A" w:rsidP="00431C2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1C2A" w:rsidRDefault="00D81779" w:rsidP="00431C2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14B45">
        <w:rPr>
          <w:rFonts w:ascii="Times New Roman" w:hAnsi="Times New Roman" w:cs="Times New Roman"/>
          <w:sz w:val="24"/>
          <w:szCs w:val="24"/>
        </w:rPr>
        <w:t>Tax C</w:t>
      </w:r>
      <w:r>
        <w:rPr>
          <w:rFonts w:ascii="Times New Roman" w:hAnsi="Times New Roman" w:cs="Times New Roman"/>
          <w:sz w:val="24"/>
          <w:szCs w:val="24"/>
        </w:rPr>
        <w:t>ourt determined</w:t>
      </w:r>
      <w:r w:rsidR="00714B45">
        <w:rPr>
          <w:rFonts w:ascii="Times New Roman" w:hAnsi="Times New Roman" w:cs="Times New Roman"/>
          <w:sz w:val="24"/>
          <w:szCs w:val="24"/>
        </w:rPr>
        <w:t xml:space="preserve"> in this published decision</w:t>
      </w:r>
      <w:r>
        <w:rPr>
          <w:rFonts w:ascii="Times New Roman" w:hAnsi="Times New Roman" w:cs="Times New Roman"/>
          <w:sz w:val="24"/>
          <w:szCs w:val="24"/>
        </w:rPr>
        <w:t xml:space="preserve"> that, despite the use of the word “may” instead of “shall” in the statute, </w:t>
      </w:r>
      <w:r w:rsidR="00B242E1">
        <w:rPr>
          <w:rFonts w:ascii="Times New Roman" w:hAnsi="Times New Roman" w:cs="Times New Roman"/>
          <w:sz w:val="24"/>
          <w:szCs w:val="24"/>
        </w:rPr>
        <w:t xml:space="preserve">a refund of </w:t>
      </w:r>
      <w:r w:rsidR="00595A90">
        <w:rPr>
          <w:rFonts w:ascii="Times New Roman" w:hAnsi="Times New Roman" w:cs="Times New Roman"/>
          <w:sz w:val="24"/>
          <w:szCs w:val="24"/>
        </w:rPr>
        <w:t>taxes that were mistakenly paid</w:t>
      </w:r>
      <w:r w:rsidR="0072426B">
        <w:rPr>
          <w:rFonts w:ascii="Times New Roman" w:hAnsi="Times New Roman" w:cs="Times New Roman"/>
          <w:sz w:val="24"/>
          <w:szCs w:val="24"/>
        </w:rPr>
        <w:t xml:space="preserve"> </w:t>
      </w:r>
      <w:r w:rsidR="00595A90">
        <w:rPr>
          <w:rFonts w:ascii="Times New Roman" w:hAnsi="Times New Roman" w:cs="Times New Roman"/>
          <w:sz w:val="24"/>
          <w:szCs w:val="24"/>
        </w:rPr>
        <w:t>due to the municipality’s error wa</w:t>
      </w:r>
      <w:r w:rsidR="0072426B">
        <w:rPr>
          <w:rFonts w:ascii="Times New Roman" w:hAnsi="Times New Roman" w:cs="Times New Roman"/>
          <w:sz w:val="24"/>
          <w:szCs w:val="24"/>
        </w:rPr>
        <w:t>s mandatory, and that the</w:t>
      </w:r>
      <w:r w:rsidR="00B242E1">
        <w:rPr>
          <w:rFonts w:ascii="Times New Roman" w:hAnsi="Times New Roman" w:cs="Times New Roman"/>
          <w:sz w:val="24"/>
          <w:szCs w:val="24"/>
        </w:rPr>
        <w:t xml:space="preserve"> muni</w:t>
      </w:r>
      <w:r w:rsidR="00E35538">
        <w:rPr>
          <w:rFonts w:ascii="Times New Roman" w:hAnsi="Times New Roman" w:cs="Times New Roman"/>
          <w:sz w:val="24"/>
          <w:szCs w:val="24"/>
        </w:rPr>
        <w:t>cipality did</w:t>
      </w:r>
      <w:r w:rsidR="00B242E1">
        <w:rPr>
          <w:rFonts w:ascii="Times New Roman" w:hAnsi="Times New Roman" w:cs="Times New Roman"/>
          <w:sz w:val="24"/>
          <w:szCs w:val="24"/>
        </w:rPr>
        <w:t xml:space="preserve"> not have discretion as to whether or not to provide a refund</w:t>
      </w:r>
      <w:r w:rsidR="00BA0903">
        <w:rPr>
          <w:rFonts w:ascii="Times New Roman" w:hAnsi="Times New Roman" w:cs="Times New Roman"/>
          <w:sz w:val="24"/>
          <w:szCs w:val="24"/>
        </w:rPr>
        <w:t xml:space="preserve"> to one who had</w:t>
      </w:r>
      <w:r w:rsidR="0072426B">
        <w:rPr>
          <w:rFonts w:ascii="Times New Roman" w:hAnsi="Times New Roman" w:cs="Times New Roman"/>
          <w:sz w:val="24"/>
          <w:szCs w:val="24"/>
        </w:rPr>
        <w:t xml:space="preserve"> </w:t>
      </w:r>
      <w:r w:rsidR="00595A90">
        <w:rPr>
          <w:rFonts w:ascii="Times New Roman" w:hAnsi="Times New Roman" w:cs="Times New Roman"/>
          <w:sz w:val="24"/>
          <w:szCs w:val="24"/>
        </w:rPr>
        <w:t xml:space="preserve">mistakenly </w:t>
      </w:r>
      <w:r w:rsidR="0072426B">
        <w:rPr>
          <w:rFonts w:ascii="Times New Roman" w:hAnsi="Times New Roman" w:cs="Times New Roman"/>
          <w:sz w:val="24"/>
          <w:szCs w:val="24"/>
        </w:rPr>
        <w:t xml:space="preserve">paid taxes on a property </w:t>
      </w:r>
      <w:r w:rsidR="00BA0903">
        <w:rPr>
          <w:rFonts w:ascii="Times New Roman" w:hAnsi="Times New Roman" w:cs="Times New Roman"/>
          <w:sz w:val="24"/>
          <w:szCs w:val="24"/>
        </w:rPr>
        <w:t>due to the municipality’s error</w:t>
      </w:r>
      <w:r w:rsidR="00B242E1">
        <w:rPr>
          <w:rFonts w:ascii="Times New Roman" w:hAnsi="Times New Roman" w:cs="Times New Roman"/>
          <w:sz w:val="24"/>
          <w:szCs w:val="24"/>
        </w:rPr>
        <w:t>.</w:t>
      </w:r>
      <w:r w:rsidR="00431C2A">
        <w:rPr>
          <w:rStyle w:val="FootnoteReference"/>
          <w:sz w:val="24"/>
          <w:szCs w:val="24"/>
        </w:rPr>
        <w:footnoteReference w:id="4"/>
      </w:r>
      <w:r w:rsidR="00072663">
        <w:rPr>
          <w:rFonts w:ascii="Times New Roman" w:hAnsi="Times New Roman" w:cs="Times New Roman"/>
          <w:sz w:val="24"/>
          <w:szCs w:val="24"/>
        </w:rPr>
        <w:t xml:space="preserve"> The Tax Court further noted its disagreement with</w:t>
      </w:r>
      <w:r w:rsidR="002C25D4">
        <w:rPr>
          <w:rFonts w:ascii="Times New Roman" w:hAnsi="Times New Roman" w:cs="Times New Roman"/>
          <w:sz w:val="24"/>
          <w:szCs w:val="24"/>
        </w:rPr>
        <w:t xml:space="preserve"> a previous and binding</w:t>
      </w:r>
      <w:r w:rsidR="00072663">
        <w:rPr>
          <w:rFonts w:ascii="Times New Roman" w:hAnsi="Times New Roman" w:cs="Times New Roman"/>
          <w:sz w:val="24"/>
          <w:szCs w:val="24"/>
        </w:rPr>
        <w:t xml:space="preserve"> Appellate Division </w:t>
      </w:r>
      <w:r w:rsidR="002C25D4">
        <w:rPr>
          <w:rFonts w:ascii="Times New Roman" w:hAnsi="Times New Roman" w:cs="Times New Roman"/>
          <w:sz w:val="24"/>
          <w:szCs w:val="24"/>
        </w:rPr>
        <w:t xml:space="preserve">decision </w:t>
      </w:r>
      <w:r w:rsidR="00072663">
        <w:rPr>
          <w:rFonts w:ascii="Times New Roman" w:hAnsi="Times New Roman" w:cs="Times New Roman"/>
          <w:sz w:val="24"/>
          <w:szCs w:val="24"/>
        </w:rPr>
        <w:t xml:space="preserve">that </w:t>
      </w:r>
      <w:r w:rsidR="002C25D4">
        <w:rPr>
          <w:rFonts w:ascii="Times New Roman" w:hAnsi="Times New Roman" w:cs="Times New Roman"/>
          <w:sz w:val="24"/>
          <w:szCs w:val="24"/>
        </w:rPr>
        <w:t xml:space="preserve">bound the Tax Court to limit </w:t>
      </w:r>
      <w:r w:rsidR="00072663">
        <w:rPr>
          <w:rFonts w:ascii="Times New Roman" w:hAnsi="Times New Roman" w:cs="Times New Roman"/>
          <w:sz w:val="24"/>
          <w:szCs w:val="24"/>
        </w:rPr>
        <w:t>Hanover Floral’</w:t>
      </w:r>
      <w:r w:rsidR="002C25D4">
        <w:rPr>
          <w:rFonts w:ascii="Times New Roman" w:hAnsi="Times New Roman" w:cs="Times New Roman"/>
          <w:sz w:val="24"/>
          <w:szCs w:val="24"/>
        </w:rPr>
        <w:t>s damages to</w:t>
      </w:r>
      <w:r w:rsidR="00714B45">
        <w:rPr>
          <w:rFonts w:ascii="Times New Roman" w:hAnsi="Times New Roman" w:cs="Times New Roman"/>
          <w:sz w:val="24"/>
          <w:szCs w:val="24"/>
        </w:rPr>
        <w:t xml:space="preserve"> </w:t>
      </w:r>
      <w:r w:rsidR="00C547F0">
        <w:rPr>
          <w:rFonts w:ascii="Times New Roman" w:hAnsi="Times New Roman" w:cs="Times New Roman"/>
          <w:sz w:val="24"/>
          <w:szCs w:val="24"/>
        </w:rPr>
        <w:t>only those taxes paid in the previous</w:t>
      </w:r>
      <w:r w:rsidR="002C25D4">
        <w:rPr>
          <w:rFonts w:ascii="Times New Roman" w:hAnsi="Times New Roman" w:cs="Times New Roman"/>
          <w:sz w:val="24"/>
          <w:szCs w:val="24"/>
        </w:rPr>
        <w:t xml:space="preserve"> three years.</w:t>
      </w:r>
      <w:r w:rsidR="002C25D4">
        <w:rPr>
          <w:rStyle w:val="FootnoteReference"/>
          <w:rFonts w:cs="Times New Roman"/>
          <w:sz w:val="24"/>
          <w:szCs w:val="24"/>
        </w:rPr>
        <w:footnoteReference w:id="5"/>
      </w:r>
      <w:r w:rsidR="00072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2A" w:rsidRDefault="00431C2A" w:rsidP="00431C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C2A" w:rsidRPr="00431C2A" w:rsidRDefault="00431C2A" w:rsidP="00431C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C2A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431C2A" w:rsidRDefault="00431C2A" w:rsidP="00431C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05D" w:rsidRDefault="005851D7" w:rsidP="001A682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D7849">
        <w:rPr>
          <w:rFonts w:ascii="Times New Roman" w:hAnsi="Times New Roman" w:cs="Times New Roman"/>
          <w:sz w:val="24"/>
          <w:szCs w:val="24"/>
        </w:rPr>
        <w:t>uring the</w:t>
      </w:r>
      <w:r>
        <w:rPr>
          <w:rFonts w:ascii="Times New Roman" w:hAnsi="Times New Roman" w:cs="Times New Roman"/>
          <w:sz w:val="24"/>
          <w:szCs w:val="24"/>
        </w:rPr>
        <w:t xml:space="preserve"> conveyance of Lot 100 from a developer to Han</w:t>
      </w:r>
      <w:r w:rsidR="008B6FBB">
        <w:rPr>
          <w:rFonts w:ascii="Times New Roman" w:hAnsi="Times New Roman" w:cs="Times New Roman"/>
          <w:sz w:val="24"/>
          <w:szCs w:val="24"/>
        </w:rPr>
        <w:t>over Township</w:t>
      </w:r>
      <w:r w:rsidR="003478EF">
        <w:rPr>
          <w:rFonts w:ascii="Times New Roman" w:hAnsi="Times New Roman" w:cs="Times New Roman"/>
          <w:sz w:val="24"/>
          <w:szCs w:val="24"/>
        </w:rPr>
        <w:t xml:space="preserve"> (the Township)</w:t>
      </w:r>
      <w:r w:rsidR="008B6F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owner of </w:t>
      </w:r>
      <w:r w:rsidR="006E005D">
        <w:rPr>
          <w:rFonts w:ascii="Times New Roman" w:hAnsi="Times New Roman" w:cs="Times New Roman"/>
          <w:sz w:val="24"/>
          <w:szCs w:val="24"/>
        </w:rPr>
        <w:t xml:space="preserve">neighboring </w:t>
      </w:r>
      <w:r>
        <w:rPr>
          <w:rFonts w:ascii="Times New Roman" w:hAnsi="Times New Roman" w:cs="Times New Roman"/>
          <w:sz w:val="24"/>
          <w:szCs w:val="24"/>
        </w:rPr>
        <w:t xml:space="preserve">Lot 98, </w:t>
      </w:r>
      <w:r w:rsidR="008B6FBB">
        <w:rPr>
          <w:rFonts w:ascii="Times New Roman" w:hAnsi="Times New Roman" w:cs="Times New Roman"/>
          <w:sz w:val="24"/>
          <w:szCs w:val="24"/>
        </w:rPr>
        <w:t xml:space="preserve">Hanover Floral, </w:t>
      </w:r>
      <w:r>
        <w:rPr>
          <w:rFonts w:ascii="Times New Roman" w:hAnsi="Times New Roman" w:cs="Times New Roman"/>
          <w:sz w:val="24"/>
          <w:szCs w:val="24"/>
        </w:rPr>
        <w:t>acquired a portion of Lot 100</w:t>
      </w:r>
      <w:r w:rsidR="008B6FBB">
        <w:rPr>
          <w:rFonts w:ascii="Times New Roman" w:hAnsi="Times New Roman" w:cs="Times New Roman"/>
          <w:sz w:val="24"/>
          <w:szCs w:val="24"/>
        </w:rPr>
        <w:t xml:space="preserve"> through adverse possession</w:t>
      </w:r>
      <w:r w:rsidR="006E005D">
        <w:rPr>
          <w:rFonts w:ascii="Times New Roman" w:hAnsi="Times New Roman" w:cs="Times New Roman"/>
          <w:sz w:val="24"/>
          <w:szCs w:val="24"/>
        </w:rPr>
        <w:t>.</w:t>
      </w:r>
      <w:r w:rsidR="006E005D">
        <w:rPr>
          <w:rStyle w:val="FootnoteReference"/>
          <w:rFonts w:cs="Times New Roman"/>
          <w:sz w:val="24"/>
          <w:szCs w:val="24"/>
        </w:rPr>
        <w:footnoteReference w:id="6"/>
      </w:r>
      <w:r w:rsidR="005F59F2">
        <w:rPr>
          <w:rFonts w:ascii="Times New Roman" w:hAnsi="Times New Roman" w:cs="Times New Roman"/>
          <w:sz w:val="24"/>
          <w:szCs w:val="24"/>
        </w:rPr>
        <w:t xml:space="preserve"> Lot 100 wa</w:t>
      </w:r>
      <w:r w:rsidR="00F96885">
        <w:rPr>
          <w:rFonts w:ascii="Times New Roman" w:hAnsi="Times New Roman" w:cs="Times New Roman"/>
          <w:sz w:val="24"/>
          <w:szCs w:val="24"/>
        </w:rPr>
        <w:t>s then split, and the adversely-</w:t>
      </w:r>
      <w:r w:rsidR="005F59F2">
        <w:rPr>
          <w:rFonts w:ascii="Times New Roman" w:hAnsi="Times New Roman" w:cs="Times New Roman"/>
          <w:sz w:val="24"/>
          <w:szCs w:val="24"/>
        </w:rPr>
        <w:t xml:space="preserve">possessed portion was incorporated into Hanover Floral’s Lot 98, </w:t>
      </w:r>
      <w:r w:rsidR="008B6FBB">
        <w:rPr>
          <w:rFonts w:ascii="Times New Roman" w:hAnsi="Times New Roman" w:cs="Times New Roman"/>
          <w:sz w:val="24"/>
          <w:szCs w:val="24"/>
        </w:rPr>
        <w:t>while the</w:t>
      </w:r>
      <w:r w:rsidR="005F59F2">
        <w:rPr>
          <w:rFonts w:ascii="Times New Roman" w:hAnsi="Times New Roman" w:cs="Times New Roman"/>
          <w:sz w:val="24"/>
          <w:szCs w:val="24"/>
        </w:rPr>
        <w:t xml:space="preserve"> rest of Lot 100 </w:t>
      </w:r>
      <w:r w:rsidR="00F53AFF">
        <w:rPr>
          <w:rFonts w:ascii="Times New Roman" w:hAnsi="Times New Roman" w:cs="Times New Roman"/>
          <w:sz w:val="24"/>
          <w:szCs w:val="24"/>
        </w:rPr>
        <w:t xml:space="preserve">remained under the ownership of the developer and was </w:t>
      </w:r>
      <w:r w:rsidR="005F59F2">
        <w:rPr>
          <w:rFonts w:ascii="Times New Roman" w:hAnsi="Times New Roman" w:cs="Times New Roman"/>
          <w:sz w:val="24"/>
          <w:szCs w:val="24"/>
        </w:rPr>
        <w:t>dedicated</w:t>
      </w:r>
      <w:r w:rsidR="003478EF">
        <w:rPr>
          <w:rFonts w:ascii="Times New Roman" w:hAnsi="Times New Roman" w:cs="Times New Roman"/>
          <w:sz w:val="24"/>
          <w:szCs w:val="24"/>
        </w:rPr>
        <w:t xml:space="preserve"> to the </w:t>
      </w:r>
      <w:r w:rsidR="005F59F2">
        <w:rPr>
          <w:rFonts w:ascii="Times New Roman" w:hAnsi="Times New Roman" w:cs="Times New Roman"/>
          <w:sz w:val="24"/>
          <w:szCs w:val="24"/>
        </w:rPr>
        <w:t>Township for draining and conservation purposes as part of the developer’s plan.</w:t>
      </w:r>
      <w:r w:rsidR="005F59F2">
        <w:rPr>
          <w:rStyle w:val="FootnoteReference"/>
          <w:rFonts w:cs="Times New Roman"/>
          <w:sz w:val="24"/>
          <w:szCs w:val="24"/>
        </w:rPr>
        <w:footnoteReference w:id="7"/>
      </w:r>
      <w:r w:rsidR="00716589">
        <w:rPr>
          <w:rFonts w:ascii="Times New Roman" w:hAnsi="Times New Roman" w:cs="Times New Roman"/>
          <w:sz w:val="24"/>
          <w:szCs w:val="24"/>
        </w:rPr>
        <w:t xml:space="preserve"> </w:t>
      </w:r>
      <w:r w:rsidR="005F59F2">
        <w:rPr>
          <w:rFonts w:ascii="Times New Roman" w:hAnsi="Times New Roman" w:cs="Times New Roman"/>
          <w:sz w:val="24"/>
          <w:szCs w:val="24"/>
        </w:rPr>
        <w:t>In 2001, the Tax Assessor mistakenly listed Hanover Floral as the owner of the reconfigured Lot 100 and began sending tax bills for Lot 100 to Hanover Floral.</w:t>
      </w:r>
      <w:r w:rsidR="005F59F2">
        <w:rPr>
          <w:rStyle w:val="FootnoteReference"/>
          <w:rFonts w:cs="Times New Roman"/>
          <w:sz w:val="24"/>
          <w:szCs w:val="24"/>
        </w:rPr>
        <w:footnoteReference w:id="8"/>
      </w:r>
      <w:r w:rsidR="00716589">
        <w:rPr>
          <w:rFonts w:ascii="Times New Roman" w:hAnsi="Times New Roman" w:cs="Times New Roman"/>
          <w:sz w:val="24"/>
          <w:szCs w:val="24"/>
        </w:rPr>
        <w:t xml:space="preserve"> </w:t>
      </w:r>
      <w:r w:rsidR="006E7966">
        <w:rPr>
          <w:rFonts w:ascii="Times New Roman" w:hAnsi="Times New Roman" w:cs="Times New Roman"/>
          <w:sz w:val="24"/>
          <w:szCs w:val="24"/>
        </w:rPr>
        <w:t>Hanover Floral paid those tax bills, believing them to be for that portion of Lot 100 they had acquired through adverse possession.</w:t>
      </w:r>
      <w:r w:rsidR="006E7966">
        <w:rPr>
          <w:rStyle w:val="FootnoteReference"/>
          <w:rFonts w:cs="Times New Roman"/>
          <w:sz w:val="24"/>
          <w:szCs w:val="24"/>
        </w:rPr>
        <w:footnoteReference w:id="9"/>
      </w:r>
      <w:r w:rsidR="008D1573">
        <w:rPr>
          <w:rFonts w:ascii="Times New Roman" w:hAnsi="Times New Roman" w:cs="Times New Roman"/>
          <w:sz w:val="24"/>
          <w:szCs w:val="24"/>
        </w:rPr>
        <w:t xml:space="preserve"> After realizing the mistake during a title search </w:t>
      </w:r>
      <w:r w:rsidR="00806804">
        <w:rPr>
          <w:rFonts w:ascii="Times New Roman" w:hAnsi="Times New Roman" w:cs="Times New Roman"/>
          <w:sz w:val="24"/>
          <w:szCs w:val="24"/>
        </w:rPr>
        <w:t xml:space="preserve">that was </w:t>
      </w:r>
      <w:r w:rsidR="008D1573">
        <w:rPr>
          <w:rFonts w:ascii="Times New Roman" w:hAnsi="Times New Roman" w:cs="Times New Roman"/>
          <w:sz w:val="24"/>
          <w:szCs w:val="24"/>
        </w:rPr>
        <w:t xml:space="preserve">conducted </w:t>
      </w:r>
      <w:r w:rsidR="00806804">
        <w:rPr>
          <w:rFonts w:ascii="Times New Roman" w:hAnsi="Times New Roman" w:cs="Times New Roman"/>
          <w:sz w:val="24"/>
          <w:szCs w:val="24"/>
        </w:rPr>
        <w:t>in conjunction with a loan application</w:t>
      </w:r>
      <w:r w:rsidR="00FD7849">
        <w:rPr>
          <w:rFonts w:ascii="Times New Roman" w:hAnsi="Times New Roman" w:cs="Times New Roman"/>
          <w:sz w:val="24"/>
          <w:szCs w:val="24"/>
        </w:rPr>
        <w:t xml:space="preserve"> in 2011</w:t>
      </w:r>
      <w:r w:rsidR="008D1573">
        <w:rPr>
          <w:rFonts w:ascii="Times New Roman" w:hAnsi="Times New Roman" w:cs="Times New Roman"/>
          <w:sz w:val="24"/>
          <w:szCs w:val="24"/>
        </w:rPr>
        <w:t xml:space="preserve">, Hanover Floral </w:t>
      </w:r>
      <w:proofErr w:type="gramStart"/>
      <w:r w:rsidR="008D1573">
        <w:rPr>
          <w:rFonts w:ascii="Times New Roman" w:hAnsi="Times New Roman" w:cs="Times New Roman"/>
          <w:sz w:val="24"/>
          <w:szCs w:val="24"/>
        </w:rPr>
        <w:lastRenderedPageBreak/>
        <w:t>brought</w:t>
      </w:r>
      <w:proofErr w:type="gramEnd"/>
      <w:r w:rsidR="008D1573">
        <w:rPr>
          <w:rFonts w:ascii="Times New Roman" w:hAnsi="Times New Roman" w:cs="Times New Roman"/>
          <w:sz w:val="24"/>
          <w:szCs w:val="24"/>
        </w:rPr>
        <w:t xml:space="preserve"> the mistakenly-paid taxes to the attention of </w:t>
      </w:r>
      <w:r w:rsidR="003478EF">
        <w:rPr>
          <w:rFonts w:ascii="Times New Roman" w:hAnsi="Times New Roman" w:cs="Times New Roman"/>
          <w:sz w:val="24"/>
          <w:szCs w:val="24"/>
        </w:rPr>
        <w:t>the</w:t>
      </w:r>
      <w:r w:rsidR="008D1573">
        <w:rPr>
          <w:rFonts w:ascii="Times New Roman" w:hAnsi="Times New Roman" w:cs="Times New Roman"/>
          <w:sz w:val="24"/>
          <w:szCs w:val="24"/>
        </w:rPr>
        <w:t xml:space="preserve"> Township’s Tax Ass</w:t>
      </w:r>
      <w:r w:rsidR="00FD7849">
        <w:rPr>
          <w:rFonts w:ascii="Times New Roman" w:hAnsi="Times New Roman" w:cs="Times New Roman"/>
          <w:sz w:val="24"/>
          <w:szCs w:val="24"/>
        </w:rPr>
        <w:t>essor, who admitted that Hanover Floral</w:t>
      </w:r>
      <w:r w:rsidR="008D1573">
        <w:rPr>
          <w:rFonts w:ascii="Times New Roman" w:hAnsi="Times New Roman" w:cs="Times New Roman"/>
          <w:sz w:val="24"/>
          <w:szCs w:val="24"/>
        </w:rPr>
        <w:t xml:space="preserve"> had been mistakenly assessed for Lot 100.</w:t>
      </w:r>
      <w:r w:rsidR="008D1573">
        <w:rPr>
          <w:rStyle w:val="FootnoteReference"/>
          <w:rFonts w:cs="Times New Roman"/>
          <w:sz w:val="24"/>
          <w:szCs w:val="24"/>
        </w:rPr>
        <w:footnoteReference w:id="10"/>
      </w:r>
      <w:r w:rsidR="00716589">
        <w:rPr>
          <w:rFonts w:ascii="Times New Roman" w:hAnsi="Times New Roman" w:cs="Times New Roman"/>
          <w:sz w:val="24"/>
          <w:szCs w:val="24"/>
        </w:rPr>
        <w:t xml:space="preserve"> </w:t>
      </w:r>
      <w:r w:rsidR="001B4838">
        <w:rPr>
          <w:rFonts w:ascii="Times New Roman" w:hAnsi="Times New Roman" w:cs="Times New Roman"/>
          <w:sz w:val="24"/>
          <w:szCs w:val="24"/>
        </w:rPr>
        <w:t xml:space="preserve">The Tax Assessor informed Hanover Floral that they would need to file a tax appeal, and </w:t>
      </w:r>
      <w:r w:rsidR="003478EF">
        <w:rPr>
          <w:rFonts w:ascii="Times New Roman" w:hAnsi="Times New Roman" w:cs="Times New Roman"/>
          <w:sz w:val="24"/>
          <w:szCs w:val="24"/>
        </w:rPr>
        <w:t>the</w:t>
      </w:r>
      <w:r w:rsidR="00AA0497">
        <w:rPr>
          <w:rFonts w:ascii="Times New Roman" w:hAnsi="Times New Roman" w:cs="Times New Roman"/>
          <w:sz w:val="24"/>
          <w:szCs w:val="24"/>
        </w:rPr>
        <w:t xml:space="preserve"> Township continued to bill Hanover Floral for taxes on Lot 100, until, in accordance with its agreement with the developer, the Township acquired Lot 100 in a Deed of Dedication, and, after becoming the legal owner of Lot 100, cancelled the outstanding taxes on Lot 100 on February 8, 2016.</w:t>
      </w:r>
      <w:r w:rsidR="00AA0497">
        <w:rPr>
          <w:rStyle w:val="FootnoteReference"/>
          <w:rFonts w:cs="Times New Roman"/>
          <w:sz w:val="24"/>
          <w:szCs w:val="24"/>
        </w:rPr>
        <w:footnoteReference w:id="11"/>
      </w:r>
      <w:r w:rsidR="0071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838" w:rsidRDefault="001B4838" w:rsidP="001A682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6B16" w:rsidRDefault="00254AE1" w:rsidP="001A682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meantime, Hanover Floral filed a complaint in December of 2012 for a refund</w:t>
      </w:r>
      <w:r w:rsidR="00E35538">
        <w:rPr>
          <w:rFonts w:ascii="Times New Roman" w:hAnsi="Times New Roman" w:cs="Times New Roman"/>
          <w:sz w:val="24"/>
          <w:szCs w:val="24"/>
        </w:rPr>
        <w:t>, as per N.J.S. 54:4-54,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4A5EBE">
        <w:rPr>
          <w:rFonts w:ascii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hAnsi="Times New Roman" w:cs="Times New Roman"/>
          <w:sz w:val="24"/>
          <w:szCs w:val="24"/>
        </w:rPr>
        <w:t xml:space="preserve">taxes they had </w:t>
      </w:r>
      <w:r w:rsidR="00E35538">
        <w:rPr>
          <w:rFonts w:ascii="Times New Roman" w:hAnsi="Times New Roman" w:cs="Times New Roman"/>
          <w:sz w:val="24"/>
          <w:szCs w:val="24"/>
        </w:rPr>
        <w:t xml:space="preserve">mistakenly </w:t>
      </w:r>
      <w:r>
        <w:rPr>
          <w:rFonts w:ascii="Times New Roman" w:hAnsi="Times New Roman" w:cs="Times New Roman"/>
          <w:sz w:val="24"/>
          <w:szCs w:val="24"/>
        </w:rPr>
        <w:t>paid on Lo</w:t>
      </w:r>
      <w:r w:rsidR="00E35538">
        <w:rPr>
          <w:rFonts w:ascii="Times New Roman" w:hAnsi="Times New Roman" w:cs="Times New Roman"/>
          <w:sz w:val="24"/>
          <w:szCs w:val="24"/>
        </w:rPr>
        <w:t>t 100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cs="Times New Roman"/>
          <w:sz w:val="24"/>
          <w:szCs w:val="24"/>
        </w:rPr>
        <w:footnoteReference w:id="12"/>
      </w:r>
      <w:r w:rsidR="00716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E26B1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matter was moved from the Chancery Division to the</w:t>
      </w:r>
      <w:r w:rsidR="00E26B16">
        <w:rPr>
          <w:rFonts w:ascii="Times New Roman" w:hAnsi="Times New Roman" w:cs="Times New Roman"/>
          <w:sz w:val="24"/>
          <w:szCs w:val="24"/>
        </w:rPr>
        <w:t xml:space="preserve"> Tax Court, t</w:t>
      </w:r>
      <w:r>
        <w:rPr>
          <w:rFonts w:ascii="Times New Roman" w:hAnsi="Times New Roman" w:cs="Times New Roman"/>
          <w:sz w:val="24"/>
          <w:szCs w:val="24"/>
        </w:rPr>
        <w:t>he Township filed a Motion for Summary Judgment to</w:t>
      </w:r>
      <w:r w:rsidR="00E26B16">
        <w:rPr>
          <w:rFonts w:ascii="Times New Roman" w:hAnsi="Times New Roman" w:cs="Times New Roman"/>
          <w:sz w:val="24"/>
          <w:szCs w:val="24"/>
        </w:rPr>
        <w:t xml:space="preserve"> dismiss all claims with prejudice, and Hanover Floral responded with a Cross-Motion for Summary Judgment, one of the issues in dispute being whether the Township was required to refund Hanover Floral the mistakenly-paid taxes, or whether the Township</w:t>
      </w:r>
      <w:r w:rsidR="004A5EBE">
        <w:rPr>
          <w:rFonts w:ascii="Times New Roman" w:hAnsi="Times New Roman" w:cs="Times New Roman"/>
          <w:sz w:val="24"/>
          <w:szCs w:val="24"/>
        </w:rPr>
        <w:t xml:space="preserve"> merely</w:t>
      </w:r>
      <w:r w:rsidR="00E26B16">
        <w:rPr>
          <w:rFonts w:ascii="Times New Roman" w:hAnsi="Times New Roman" w:cs="Times New Roman"/>
          <w:sz w:val="24"/>
          <w:szCs w:val="24"/>
        </w:rPr>
        <w:t xml:space="preserve"> had discretion to pay </w:t>
      </w:r>
      <w:r w:rsidR="00E35538">
        <w:rPr>
          <w:rFonts w:ascii="Times New Roman" w:hAnsi="Times New Roman" w:cs="Times New Roman"/>
          <w:sz w:val="24"/>
          <w:szCs w:val="24"/>
        </w:rPr>
        <w:t xml:space="preserve">Hanover Floral </w:t>
      </w:r>
      <w:r w:rsidR="00E26B16">
        <w:rPr>
          <w:rFonts w:ascii="Times New Roman" w:hAnsi="Times New Roman" w:cs="Times New Roman"/>
          <w:sz w:val="24"/>
          <w:szCs w:val="24"/>
        </w:rPr>
        <w:t xml:space="preserve">under N.J.S. </w:t>
      </w:r>
      <w:r w:rsidR="00205273">
        <w:rPr>
          <w:rFonts w:ascii="Times New Roman" w:hAnsi="Times New Roman" w:cs="Times New Roman"/>
          <w:sz w:val="24"/>
          <w:szCs w:val="24"/>
        </w:rPr>
        <w:t>54:4-54.</w:t>
      </w:r>
      <w:r w:rsidR="00205273">
        <w:rPr>
          <w:rStyle w:val="FootnoteReference"/>
          <w:rFonts w:cs="Times New Roman"/>
          <w:sz w:val="24"/>
          <w:szCs w:val="24"/>
        </w:rPr>
        <w:footnoteReference w:id="13"/>
      </w:r>
    </w:p>
    <w:p w:rsidR="001B4838" w:rsidRDefault="00254AE1" w:rsidP="001A682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2A" w:rsidRDefault="005A3AAB" w:rsidP="001A682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Tax Court determined that the Township was required</w:t>
      </w:r>
      <w:r w:rsidR="00707F5D">
        <w:rPr>
          <w:rFonts w:ascii="Times New Roman" w:hAnsi="Times New Roman" w:cs="Times New Roman"/>
          <w:sz w:val="24"/>
          <w:szCs w:val="24"/>
        </w:rPr>
        <w:t xml:space="preserve"> under N.J.S. 54:4-54</w:t>
      </w:r>
      <w:r>
        <w:rPr>
          <w:rFonts w:ascii="Times New Roman" w:hAnsi="Times New Roman" w:cs="Times New Roman"/>
          <w:sz w:val="24"/>
          <w:szCs w:val="24"/>
        </w:rPr>
        <w:t xml:space="preserve"> to refund all of Hanover Floral’s mistakenly-paid taxes from 2009 onward, which </w:t>
      </w:r>
      <w:r w:rsidR="004A5EBE">
        <w:rPr>
          <w:rFonts w:ascii="Times New Roman" w:hAnsi="Times New Roman" w:cs="Times New Roman"/>
          <w:sz w:val="24"/>
          <w:szCs w:val="24"/>
        </w:rPr>
        <w:t>encompassed those</w:t>
      </w:r>
      <w:r>
        <w:rPr>
          <w:rFonts w:ascii="Times New Roman" w:hAnsi="Times New Roman" w:cs="Times New Roman"/>
          <w:sz w:val="24"/>
          <w:szCs w:val="24"/>
        </w:rPr>
        <w:t xml:space="preserve"> taxes </w:t>
      </w:r>
      <w:r w:rsidR="004A5EBE">
        <w:rPr>
          <w:rFonts w:ascii="Times New Roman" w:hAnsi="Times New Roman" w:cs="Times New Roman"/>
          <w:sz w:val="24"/>
          <w:szCs w:val="24"/>
        </w:rPr>
        <w:t xml:space="preserve">that were mistakenly paid </w:t>
      </w:r>
      <w:r>
        <w:rPr>
          <w:rFonts w:ascii="Times New Roman" w:hAnsi="Times New Roman" w:cs="Times New Roman"/>
          <w:sz w:val="24"/>
          <w:szCs w:val="24"/>
        </w:rPr>
        <w:t>within the three-year statute of limitations.</w:t>
      </w:r>
      <w:r>
        <w:rPr>
          <w:rStyle w:val="FootnoteReference"/>
          <w:rFonts w:cs="Times New Roman"/>
          <w:sz w:val="24"/>
          <w:szCs w:val="24"/>
        </w:rPr>
        <w:footnoteReference w:id="14"/>
      </w:r>
      <w:r w:rsidR="0071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2A" w:rsidRDefault="00431C2A" w:rsidP="001A682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1C2A" w:rsidRDefault="00431C2A" w:rsidP="001A682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relevant portion of </w:t>
      </w:r>
      <w:r w:rsidR="00F96885">
        <w:rPr>
          <w:rFonts w:ascii="Times New Roman" w:hAnsi="Times New Roman" w:cs="Times New Roman"/>
          <w:sz w:val="24"/>
          <w:szCs w:val="24"/>
        </w:rPr>
        <w:t>N.J.S. 54:4-54</w:t>
      </w:r>
      <w:r>
        <w:rPr>
          <w:rFonts w:ascii="Times New Roman" w:hAnsi="Times New Roman" w:cs="Times New Roman"/>
          <w:sz w:val="24"/>
          <w:szCs w:val="24"/>
        </w:rPr>
        <w:t xml:space="preserve"> states the following:</w:t>
      </w:r>
    </w:p>
    <w:p w:rsidR="00431C2A" w:rsidRDefault="00431C2A" w:rsidP="00431C2A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31C2A" w:rsidRDefault="00707F5D" w:rsidP="004D10ED">
      <w:pPr>
        <w:spacing w:line="276" w:lineRule="auto"/>
        <w:ind w:left="1440"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D10ED">
        <w:rPr>
          <w:rFonts w:ascii="Times New Roman" w:hAnsi="Times New Roman" w:cs="Times New Roman"/>
          <w:sz w:val="24"/>
          <w:szCs w:val="24"/>
        </w:rPr>
        <w:t xml:space="preserve">here one person has by mistake paid the tax on the property of another supposing it to be his own, the governing body after a hearing, on five days’ notice to the owner, </w:t>
      </w:r>
      <w:r w:rsidR="004D10ED" w:rsidRPr="001F486B">
        <w:rPr>
          <w:rFonts w:ascii="Times New Roman" w:hAnsi="Times New Roman" w:cs="Times New Roman"/>
          <w:i/>
          <w:sz w:val="24"/>
          <w:szCs w:val="24"/>
        </w:rPr>
        <w:t>may</w:t>
      </w:r>
      <w:r w:rsidR="004D10ED">
        <w:rPr>
          <w:rFonts w:ascii="Times New Roman" w:hAnsi="Times New Roman" w:cs="Times New Roman"/>
          <w:sz w:val="24"/>
          <w:szCs w:val="24"/>
        </w:rPr>
        <w:t xml:space="preserve"> return the money paid in error …</w:t>
      </w:r>
      <w:r w:rsidR="004D10ED">
        <w:rPr>
          <w:rStyle w:val="FootnoteReference"/>
          <w:rFonts w:cs="Times New Roman"/>
          <w:sz w:val="24"/>
          <w:szCs w:val="24"/>
        </w:rPr>
        <w:footnoteReference w:id="15"/>
      </w:r>
    </w:p>
    <w:p w:rsidR="00431C2A" w:rsidRDefault="00431C2A" w:rsidP="00431C2A">
      <w:pPr>
        <w:spacing w:line="276" w:lineRule="auto"/>
        <w:ind w:left="2160" w:right="1440"/>
        <w:rPr>
          <w:rFonts w:ascii="Times New Roman" w:hAnsi="Times New Roman" w:cs="Times New Roman"/>
          <w:sz w:val="24"/>
          <w:szCs w:val="24"/>
        </w:rPr>
      </w:pPr>
    </w:p>
    <w:p w:rsidR="004D10ED" w:rsidRDefault="004D10ED" w:rsidP="001A682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the Township argued that the use o</w:t>
      </w:r>
      <w:r w:rsidR="00DB1213">
        <w:rPr>
          <w:rFonts w:ascii="Times New Roman" w:hAnsi="Times New Roman" w:cs="Times New Roman"/>
          <w:sz w:val="24"/>
          <w:szCs w:val="24"/>
        </w:rPr>
        <w:t>f the permissive “may” indicates</w:t>
      </w:r>
      <w:r>
        <w:rPr>
          <w:rFonts w:ascii="Times New Roman" w:hAnsi="Times New Roman" w:cs="Times New Roman"/>
          <w:sz w:val="24"/>
          <w:szCs w:val="24"/>
        </w:rPr>
        <w:t xml:space="preserve"> that, by the plain language of the statute, the Township had discretion as to whether or not to refund Hanover Floral for mistakenly-paid taxes, the Tax Court rejected that argument, noting that case law had found repayment of mistakenly-paid taxes to be </w:t>
      </w:r>
      <w:r w:rsidR="00CA744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mandatory</w:t>
      </w:r>
      <w:r w:rsidR="00CA7445">
        <w:rPr>
          <w:rFonts w:ascii="Times New Roman" w:hAnsi="Times New Roman" w:cs="Times New Roman"/>
          <w:sz w:val="24"/>
          <w:szCs w:val="24"/>
        </w:rPr>
        <w:t xml:space="preserve"> not discretionary even though N.J.S.[] 54:4-54 provides that ‘the governing body … </w:t>
      </w:r>
      <w:r w:rsidR="00CA7445">
        <w:rPr>
          <w:rFonts w:ascii="Times New Roman" w:hAnsi="Times New Roman" w:cs="Times New Roman"/>
          <w:i/>
          <w:sz w:val="24"/>
          <w:szCs w:val="24"/>
        </w:rPr>
        <w:t xml:space="preserve">may return </w:t>
      </w:r>
      <w:r w:rsidR="00CA7445">
        <w:rPr>
          <w:rFonts w:ascii="Times New Roman" w:hAnsi="Times New Roman" w:cs="Times New Roman"/>
          <w:sz w:val="24"/>
          <w:szCs w:val="24"/>
        </w:rPr>
        <w:t>the money paid in error …’”</w:t>
      </w:r>
      <w:r>
        <w:rPr>
          <w:rStyle w:val="FootnoteReference"/>
          <w:rFonts w:cs="Times New Roman"/>
          <w:sz w:val="24"/>
          <w:szCs w:val="24"/>
        </w:rPr>
        <w:footnoteReference w:id="16"/>
      </w:r>
      <w:r w:rsidR="00716589">
        <w:rPr>
          <w:rFonts w:ascii="Times New Roman" w:hAnsi="Times New Roman" w:cs="Times New Roman"/>
          <w:sz w:val="24"/>
          <w:szCs w:val="24"/>
        </w:rPr>
        <w:t xml:space="preserve"> </w:t>
      </w:r>
      <w:r w:rsidR="00DB1213">
        <w:rPr>
          <w:rFonts w:ascii="Times New Roman" w:hAnsi="Times New Roman" w:cs="Times New Roman"/>
          <w:sz w:val="24"/>
          <w:szCs w:val="24"/>
        </w:rPr>
        <w:t xml:space="preserve">The Tax Court noted that </w:t>
      </w:r>
      <w:r w:rsidR="001C642B">
        <w:rPr>
          <w:rFonts w:ascii="Times New Roman" w:hAnsi="Times New Roman" w:cs="Times New Roman"/>
          <w:sz w:val="24"/>
          <w:szCs w:val="24"/>
        </w:rPr>
        <w:t xml:space="preserve">repayment </w:t>
      </w:r>
      <w:r w:rsidR="00DB1213">
        <w:rPr>
          <w:rFonts w:ascii="Times New Roman" w:hAnsi="Times New Roman" w:cs="Times New Roman"/>
          <w:sz w:val="24"/>
          <w:szCs w:val="24"/>
        </w:rPr>
        <w:t xml:space="preserve">of mistakenly-paid taxes </w:t>
      </w:r>
      <w:r w:rsidR="001C642B">
        <w:rPr>
          <w:rFonts w:ascii="Times New Roman" w:hAnsi="Times New Roman" w:cs="Times New Roman"/>
          <w:sz w:val="24"/>
          <w:szCs w:val="24"/>
        </w:rPr>
        <w:t>was found to be mandatory</w:t>
      </w:r>
      <w:r w:rsidR="00CA7445">
        <w:rPr>
          <w:rFonts w:ascii="Times New Roman" w:hAnsi="Times New Roman" w:cs="Times New Roman"/>
          <w:sz w:val="24"/>
          <w:szCs w:val="24"/>
        </w:rPr>
        <w:t xml:space="preserve"> </w:t>
      </w:r>
      <w:r w:rsidR="001C642B">
        <w:rPr>
          <w:rFonts w:ascii="Times New Roman" w:hAnsi="Times New Roman" w:cs="Times New Roman"/>
          <w:sz w:val="24"/>
          <w:szCs w:val="24"/>
        </w:rPr>
        <w:t>in both</w:t>
      </w:r>
      <w:r w:rsidR="009C6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AD2">
        <w:rPr>
          <w:rFonts w:ascii="Times New Roman" w:hAnsi="Times New Roman" w:cs="Times New Roman"/>
          <w:i/>
          <w:sz w:val="24"/>
          <w:szCs w:val="24"/>
        </w:rPr>
        <w:lastRenderedPageBreak/>
        <w:t>McShain</w:t>
      </w:r>
      <w:proofErr w:type="spellEnd"/>
      <w:r w:rsidR="00014AD2">
        <w:rPr>
          <w:rFonts w:ascii="Times New Roman" w:hAnsi="Times New Roman" w:cs="Times New Roman"/>
          <w:i/>
          <w:sz w:val="24"/>
          <w:szCs w:val="24"/>
        </w:rPr>
        <w:t xml:space="preserve"> v. Township of </w:t>
      </w:r>
      <w:proofErr w:type="spellStart"/>
      <w:r w:rsidR="00014AD2">
        <w:rPr>
          <w:rFonts w:ascii="Times New Roman" w:hAnsi="Times New Roman" w:cs="Times New Roman"/>
          <w:i/>
          <w:sz w:val="24"/>
          <w:szCs w:val="24"/>
        </w:rPr>
        <w:t>Evesham</w:t>
      </w:r>
      <w:proofErr w:type="spellEnd"/>
      <w:r w:rsidR="001C642B">
        <w:rPr>
          <w:rFonts w:ascii="Times New Roman" w:hAnsi="Times New Roman" w:cs="Times New Roman"/>
          <w:sz w:val="24"/>
          <w:szCs w:val="24"/>
        </w:rPr>
        <w:t xml:space="preserve"> and </w:t>
      </w:r>
      <w:r w:rsidR="00C9450B">
        <w:rPr>
          <w:rFonts w:ascii="Times New Roman" w:hAnsi="Times New Roman" w:cs="Times New Roman"/>
          <w:i/>
          <w:sz w:val="24"/>
          <w:szCs w:val="24"/>
        </w:rPr>
        <w:t xml:space="preserve">Farmingdale Realty Co. v. </w:t>
      </w:r>
      <w:r w:rsidR="001C642B">
        <w:rPr>
          <w:rFonts w:ascii="Times New Roman" w:hAnsi="Times New Roman" w:cs="Times New Roman"/>
          <w:i/>
          <w:sz w:val="24"/>
          <w:szCs w:val="24"/>
        </w:rPr>
        <w:t>Borough of Farmingdale</w:t>
      </w:r>
      <w:r w:rsidR="00D44854">
        <w:rPr>
          <w:rStyle w:val="FootnoteReference"/>
          <w:rFonts w:cs="Times New Roman"/>
          <w:i/>
          <w:sz w:val="24"/>
          <w:szCs w:val="24"/>
        </w:rPr>
        <w:footnoteReference w:id="17"/>
      </w:r>
      <w:r w:rsidR="001C642B">
        <w:rPr>
          <w:rFonts w:ascii="Times New Roman" w:hAnsi="Times New Roman" w:cs="Times New Roman"/>
          <w:sz w:val="24"/>
          <w:szCs w:val="24"/>
        </w:rPr>
        <w:t>, and that</w:t>
      </w:r>
      <w:r w:rsidR="00362AF5">
        <w:rPr>
          <w:rFonts w:ascii="Times New Roman" w:hAnsi="Times New Roman" w:cs="Times New Roman"/>
          <w:sz w:val="24"/>
          <w:szCs w:val="24"/>
        </w:rPr>
        <w:t xml:space="preserve"> in its decision,</w:t>
      </w:r>
      <w:r w:rsidR="001C642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C642B">
        <w:rPr>
          <w:rFonts w:ascii="Times New Roman" w:hAnsi="Times New Roman" w:cs="Times New Roman"/>
          <w:i/>
          <w:sz w:val="24"/>
          <w:szCs w:val="24"/>
        </w:rPr>
        <w:t>McShain</w:t>
      </w:r>
      <w:proofErr w:type="spellEnd"/>
      <w:r w:rsidR="001C642B">
        <w:rPr>
          <w:rFonts w:ascii="Times New Roman" w:hAnsi="Times New Roman" w:cs="Times New Roman"/>
          <w:sz w:val="24"/>
          <w:szCs w:val="24"/>
        </w:rPr>
        <w:t xml:space="preserve"> court looked to the New Jersey Supreme Court’s </w:t>
      </w:r>
      <w:r w:rsidR="00362AF5">
        <w:rPr>
          <w:rFonts w:ascii="Times New Roman" w:hAnsi="Times New Roman" w:cs="Times New Roman"/>
          <w:sz w:val="24"/>
          <w:szCs w:val="24"/>
        </w:rPr>
        <w:t xml:space="preserve">statement in </w:t>
      </w:r>
      <w:r w:rsidR="00362AF5">
        <w:rPr>
          <w:rFonts w:ascii="Times New Roman" w:hAnsi="Times New Roman" w:cs="Times New Roman"/>
          <w:i/>
          <w:sz w:val="24"/>
          <w:szCs w:val="24"/>
        </w:rPr>
        <w:t>Farmingdale</w:t>
      </w:r>
      <w:r w:rsidR="00362AF5">
        <w:rPr>
          <w:rFonts w:ascii="Times New Roman" w:hAnsi="Times New Roman" w:cs="Times New Roman"/>
          <w:sz w:val="24"/>
          <w:szCs w:val="24"/>
        </w:rPr>
        <w:t xml:space="preserve"> that</w:t>
      </w:r>
      <w:r w:rsidR="00F13840">
        <w:rPr>
          <w:rFonts w:ascii="Times New Roman" w:hAnsi="Times New Roman" w:cs="Times New Roman"/>
          <w:sz w:val="24"/>
          <w:szCs w:val="24"/>
        </w:rPr>
        <w:t xml:space="preserve"> “[</w:t>
      </w:r>
      <w:proofErr w:type="spellStart"/>
      <w:r w:rsidR="00F1384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3840">
        <w:rPr>
          <w:rFonts w:ascii="Times New Roman" w:hAnsi="Times New Roman" w:cs="Times New Roman"/>
          <w:sz w:val="24"/>
          <w:szCs w:val="24"/>
        </w:rPr>
        <w:t>]t is only just that the municipality and not the wronged taxpayer should bear the burden of the unilateral clerical errors of an assessor resulting in the payment of taxes to which t</w:t>
      </w:r>
      <w:r w:rsidR="002657DE">
        <w:rPr>
          <w:rFonts w:ascii="Times New Roman" w:hAnsi="Times New Roman" w:cs="Times New Roman"/>
          <w:sz w:val="24"/>
          <w:szCs w:val="24"/>
        </w:rPr>
        <w:t>he municipality is not entitled,</w:t>
      </w:r>
      <w:r w:rsidR="00F13840">
        <w:rPr>
          <w:rFonts w:ascii="Times New Roman" w:hAnsi="Times New Roman" w:cs="Times New Roman"/>
          <w:sz w:val="24"/>
          <w:szCs w:val="24"/>
        </w:rPr>
        <w:t>”</w:t>
      </w:r>
      <w:r w:rsidR="00F13840">
        <w:rPr>
          <w:rStyle w:val="FootnoteReference"/>
          <w:rFonts w:cs="Times New Roman"/>
          <w:sz w:val="24"/>
          <w:szCs w:val="24"/>
        </w:rPr>
        <w:footnoteReference w:id="18"/>
      </w:r>
      <w:r w:rsidR="002657DE">
        <w:rPr>
          <w:rFonts w:ascii="Times New Roman" w:hAnsi="Times New Roman" w:cs="Times New Roman"/>
          <w:sz w:val="24"/>
          <w:szCs w:val="24"/>
        </w:rPr>
        <w:t xml:space="preserve"> </w:t>
      </w:r>
      <w:r w:rsidR="00C10F67">
        <w:rPr>
          <w:rFonts w:ascii="Times New Roman" w:hAnsi="Times New Roman" w:cs="Times New Roman"/>
          <w:sz w:val="24"/>
          <w:szCs w:val="24"/>
        </w:rPr>
        <w:t>and that “[t]here is no reason to involve the Taxpayer who paid by mistake; he is ent</w:t>
      </w:r>
      <w:r w:rsidR="00716589">
        <w:rPr>
          <w:rFonts w:ascii="Times New Roman" w:hAnsi="Times New Roman" w:cs="Times New Roman"/>
          <w:sz w:val="24"/>
          <w:szCs w:val="24"/>
        </w:rPr>
        <w:t xml:space="preserve">itled to recover in any event. </w:t>
      </w:r>
      <w:r w:rsidR="00C10F67">
        <w:rPr>
          <w:rFonts w:ascii="Times New Roman" w:hAnsi="Times New Roman" w:cs="Times New Roman"/>
          <w:sz w:val="24"/>
          <w:szCs w:val="24"/>
        </w:rPr>
        <w:t>A contrary result would be unfair.”</w:t>
      </w:r>
      <w:r w:rsidR="00C10F67">
        <w:rPr>
          <w:rStyle w:val="FootnoteReference"/>
          <w:rFonts w:cs="Times New Roman"/>
          <w:sz w:val="24"/>
          <w:szCs w:val="24"/>
        </w:rPr>
        <w:footnoteReference w:id="19"/>
      </w:r>
    </w:p>
    <w:p w:rsidR="00644A96" w:rsidRDefault="00644A96" w:rsidP="001A682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4A96" w:rsidRPr="00A71D0F" w:rsidRDefault="00644A96" w:rsidP="001A682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to the three-year-limitation on the refund of mistakenly-paid taxes, the Tax Court here reluctantly conceded they were bound by the Appellate Division decision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Cerame</w:t>
      </w:r>
      <w:proofErr w:type="spellEnd"/>
      <w:r w:rsidR="00A71D0F">
        <w:rPr>
          <w:rFonts w:ascii="Times New Roman" w:hAnsi="Times New Roman" w:cs="Times New Roman"/>
          <w:i/>
          <w:sz w:val="24"/>
          <w:szCs w:val="24"/>
        </w:rPr>
        <w:t xml:space="preserve"> v. Township Committee of Middletown</w:t>
      </w:r>
      <w:r w:rsidR="00A71D0F">
        <w:rPr>
          <w:rFonts w:ascii="Times New Roman" w:hAnsi="Times New Roman" w:cs="Times New Roman"/>
          <w:sz w:val="24"/>
          <w:szCs w:val="24"/>
        </w:rPr>
        <w:t xml:space="preserve">, </w:t>
      </w:r>
      <w:r w:rsidR="00C72A60">
        <w:rPr>
          <w:rFonts w:ascii="Times New Roman" w:hAnsi="Times New Roman" w:cs="Times New Roman"/>
          <w:sz w:val="24"/>
          <w:szCs w:val="24"/>
        </w:rPr>
        <w:t>where the Appellate Division read N.J.S. 54:4-54 together with N.J.S. 54:51A-7, noting that they were both “correction-of-errors statutes [] intended to correct the same wrongs …”</w:t>
      </w:r>
      <w:r w:rsidR="00C72A60">
        <w:rPr>
          <w:rStyle w:val="FootnoteReference"/>
          <w:rFonts w:cs="Times New Roman"/>
          <w:sz w:val="24"/>
          <w:szCs w:val="24"/>
        </w:rPr>
        <w:footnoteReference w:id="20"/>
      </w:r>
      <w:r w:rsidR="00E818D4">
        <w:rPr>
          <w:rFonts w:ascii="Times New Roman" w:hAnsi="Times New Roman" w:cs="Times New Roman"/>
          <w:sz w:val="24"/>
          <w:szCs w:val="24"/>
        </w:rPr>
        <w:t xml:space="preserve"> </w:t>
      </w:r>
      <w:r w:rsidR="00255906">
        <w:rPr>
          <w:rFonts w:ascii="Times New Roman" w:hAnsi="Times New Roman" w:cs="Times New Roman"/>
          <w:sz w:val="24"/>
          <w:szCs w:val="24"/>
        </w:rPr>
        <w:t xml:space="preserve">and that </w:t>
      </w:r>
      <w:r w:rsidR="0003224A">
        <w:rPr>
          <w:rFonts w:ascii="Times New Roman" w:hAnsi="Times New Roman" w:cs="Times New Roman"/>
          <w:sz w:val="24"/>
          <w:szCs w:val="24"/>
        </w:rPr>
        <w:t xml:space="preserve">whether a suit was brought under </w:t>
      </w:r>
      <w:r w:rsidR="004C39E5">
        <w:rPr>
          <w:rFonts w:ascii="Times New Roman" w:hAnsi="Times New Roman" w:cs="Times New Roman"/>
          <w:sz w:val="24"/>
          <w:szCs w:val="24"/>
        </w:rPr>
        <w:t xml:space="preserve">N.J.S. 54:4-54, the statute at issue here, </w:t>
      </w:r>
      <w:r w:rsidR="0003224A">
        <w:rPr>
          <w:rFonts w:ascii="Times New Roman" w:hAnsi="Times New Roman" w:cs="Times New Roman"/>
          <w:sz w:val="24"/>
          <w:szCs w:val="24"/>
        </w:rPr>
        <w:t>or under N.J.S. 54:51A-7, both would be</w:t>
      </w:r>
      <w:r w:rsidR="004C39E5">
        <w:rPr>
          <w:rFonts w:ascii="Times New Roman" w:hAnsi="Times New Roman" w:cs="Times New Roman"/>
          <w:sz w:val="24"/>
          <w:szCs w:val="24"/>
        </w:rPr>
        <w:t xml:space="preserve"> bound by the </w:t>
      </w:r>
      <w:r w:rsidR="0003224A">
        <w:rPr>
          <w:rFonts w:ascii="Times New Roman" w:hAnsi="Times New Roman" w:cs="Times New Roman"/>
          <w:sz w:val="24"/>
          <w:szCs w:val="24"/>
        </w:rPr>
        <w:t xml:space="preserve">three-year </w:t>
      </w:r>
      <w:r w:rsidR="004C39E5">
        <w:rPr>
          <w:rFonts w:ascii="Times New Roman" w:hAnsi="Times New Roman" w:cs="Times New Roman"/>
          <w:sz w:val="24"/>
          <w:szCs w:val="24"/>
        </w:rPr>
        <w:t>statute of limitations in N</w:t>
      </w:r>
      <w:r w:rsidR="0003224A">
        <w:rPr>
          <w:rFonts w:ascii="Times New Roman" w:hAnsi="Times New Roman" w:cs="Times New Roman"/>
          <w:sz w:val="24"/>
          <w:szCs w:val="24"/>
        </w:rPr>
        <w:t>.J.S. 54:51A-7.</w:t>
      </w:r>
      <w:r w:rsidR="00F600E7">
        <w:rPr>
          <w:rStyle w:val="FootnoteReference"/>
          <w:rFonts w:cs="Times New Roman"/>
          <w:sz w:val="24"/>
          <w:szCs w:val="24"/>
        </w:rPr>
        <w:footnoteReference w:id="21"/>
      </w:r>
      <w:r w:rsidR="00C87B80">
        <w:rPr>
          <w:rFonts w:ascii="Times New Roman" w:hAnsi="Times New Roman" w:cs="Times New Roman"/>
          <w:sz w:val="24"/>
          <w:szCs w:val="24"/>
        </w:rPr>
        <w:t xml:space="preserve"> In a footnote, t</w:t>
      </w:r>
      <w:r w:rsidR="00F600E7">
        <w:rPr>
          <w:rFonts w:ascii="Times New Roman" w:hAnsi="Times New Roman" w:cs="Times New Roman"/>
          <w:sz w:val="24"/>
          <w:szCs w:val="24"/>
        </w:rPr>
        <w:t xml:space="preserve">he </w:t>
      </w:r>
      <w:r w:rsidR="004C39E5">
        <w:rPr>
          <w:rFonts w:ascii="Times New Roman" w:hAnsi="Times New Roman" w:cs="Times New Roman"/>
          <w:sz w:val="24"/>
          <w:szCs w:val="24"/>
        </w:rPr>
        <w:t>Tax Court</w:t>
      </w:r>
      <w:r w:rsidR="008B5A28">
        <w:rPr>
          <w:rFonts w:ascii="Times New Roman" w:hAnsi="Times New Roman" w:cs="Times New Roman"/>
          <w:sz w:val="24"/>
          <w:szCs w:val="24"/>
        </w:rPr>
        <w:t xml:space="preserve"> </w:t>
      </w:r>
      <w:r w:rsidR="00F54387">
        <w:rPr>
          <w:rFonts w:ascii="Times New Roman" w:hAnsi="Times New Roman" w:cs="Times New Roman"/>
          <w:sz w:val="24"/>
          <w:szCs w:val="24"/>
        </w:rPr>
        <w:t xml:space="preserve">went on to analyze both </w:t>
      </w:r>
      <w:r w:rsidR="008B5A28">
        <w:rPr>
          <w:rFonts w:ascii="Times New Roman" w:hAnsi="Times New Roman" w:cs="Times New Roman"/>
          <w:sz w:val="24"/>
          <w:szCs w:val="24"/>
        </w:rPr>
        <w:t xml:space="preserve">statutes, disagreeing with the Appellate Division </w:t>
      </w:r>
      <w:r w:rsidR="00C87B8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C87B80">
        <w:rPr>
          <w:rFonts w:ascii="Times New Roman" w:hAnsi="Times New Roman" w:cs="Times New Roman"/>
          <w:i/>
          <w:sz w:val="24"/>
          <w:szCs w:val="24"/>
        </w:rPr>
        <w:t>Cerame</w:t>
      </w:r>
      <w:proofErr w:type="spellEnd"/>
      <w:r w:rsidR="00C87B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A28">
        <w:rPr>
          <w:rFonts w:ascii="Times New Roman" w:hAnsi="Times New Roman" w:cs="Times New Roman"/>
          <w:sz w:val="24"/>
          <w:szCs w:val="24"/>
        </w:rPr>
        <w:t>that the two statutes</w:t>
      </w:r>
      <w:r w:rsidR="00F54387">
        <w:rPr>
          <w:rFonts w:ascii="Times New Roman" w:hAnsi="Times New Roman" w:cs="Times New Roman"/>
          <w:sz w:val="24"/>
          <w:szCs w:val="24"/>
        </w:rPr>
        <w:t xml:space="preserve"> should be read together, as </w:t>
      </w:r>
      <w:r w:rsidR="00C87B80">
        <w:rPr>
          <w:rFonts w:ascii="Times New Roman" w:hAnsi="Times New Roman" w:cs="Times New Roman"/>
          <w:sz w:val="24"/>
          <w:szCs w:val="24"/>
        </w:rPr>
        <w:t xml:space="preserve">it was the Tax Court’s opinion that </w:t>
      </w:r>
      <w:r w:rsidR="00F54387">
        <w:rPr>
          <w:rFonts w:ascii="Times New Roman" w:hAnsi="Times New Roman" w:cs="Times New Roman"/>
          <w:sz w:val="24"/>
          <w:szCs w:val="24"/>
        </w:rPr>
        <w:t>the errors</w:t>
      </w:r>
      <w:r w:rsidR="003C7C4E">
        <w:rPr>
          <w:rFonts w:ascii="Times New Roman" w:hAnsi="Times New Roman" w:cs="Times New Roman"/>
          <w:sz w:val="24"/>
          <w:szCs w:val="24"/>
        </w:rPr>
        <w:t xml:space="preserve"> both statutes seek to correct are different</w:t>
      </w:r>
      <w:r w:rsidR="00F54387">
        <w:rPr>
          <w:rFonts w:ascii="Times New Roman" w:hAnsi="Times New Roman" w:cs="Times New Roman"/>
          <w:sz w:val="24"/>
          <w:szCs w:val="24"/>
        </w:rPr>
        <w:t xml:space="preserve">, and that “it is apparent </w:t>
      </w:r>
      <w:r w:rsidR="008B5A28">
        <w:rPr>
          <w:rFonts w:ascii="Times New Roman" w:hAnsi="Times New Roman" w:cs="Times New Roman"/>
          <w:sz w:val="24"/>
          <w:szCs w:val="24"/>
        </w:rPr>
        <w:t>that the Legislature intended t</w:t>
      </w:r>
      <w:r w:rsidR="00F54387">
        <w:rPr>
          <w:rFonts w:ascii="Times New Roman" w:hAnsi="Times New Roman" w:cs="Times New Roman"/>
          <w:sz w:val="24"/>
          <w:szCs w:val="24"/>
        </w:rPr>
        <w:t>he remedy for N.J.S. 54:4-54 to extend indefinitely</w:t>
      </w:r>
      <w:r w:rsidR="008B5A28">
        <w:rPr>
          <w:rFonts w:ascii="Times New Roman" w:hAnsi="Times New Roman" w:cs="Times New Roman"/>
          <w:sz w:val="24"/>
          <w:szCs w:val="24"/>
        </w:rPr>
        <w:t>.”</w:t>
      </w:r>
      <w:r w:rsidR="008B5A28">
        <w:rPr>
          <w:rStyle w:val="FootnoteReference"/>
          <w:rFonts w:cs="Times New Roman"/>
          <w:sz w:val="24"/>
          <w:szCs w:val="24"/>
        </w:rPr>
        <w:footnoteReference w:id="22"/>
      </w:r>
      <w:r w:rsidR="008B5A28">
        <w:rPr>
          <w:rFonts w:ascii="Times New Roman" w:hAnsi="Times New Roman" w:cs="Times New Roman"/>
          <w:sz w:val="24"/>
          <w:szCs w:val="24"/>
        </w:rPr>
        <w:t xml:space="preserve"> However, the Tax Court noted that</w:t>
      </w:r>
      <w:r w:rsidR="00C87B80">
        <w:rPr>
          <w:rFonts w:ascii="Times New Roman" w:hAnsi="Times New Roman" w:cs="Times New Roman"/>
          <w:sz w:val="24"/>
          <w:szCs w:val="24"/>
        </w:rPr>
        <w:t xml:space="preserve"> they were required to limit Hanover Floral’s repayment to the three-year statute of limitations, </w:t>
      </w:r>
      <w:r w:rsidR="004C39E5">
        <w:rPr>
          <w:rFonts w:ascii="Times New Roman" w:hAnsi="Times New Roman" w:cs="Times New Roman"/>
          <w:sz w:val="24"/>
          <w:szCs w:val="24"/>
        </w:rPr>
        <w:t xml:space="preserve">as </w:t>
      </w:r>
      <w:r w:rsidR="00C87B80">
        <w:rPr>
          <w:rFonts w:ascii="Times New Roman" w:hAnsi="Times New Roman" w:cs="Times New Roman"/>
          <w:sz w:val="24"/>
          <w:szCs w:val="24"/>
        </w:rPr>
        <w:t xml:space="preserve">while a </w:t>
      </w:r>
      <w:r w:rsidR="00D44854">
        <w:rPr>
          <w:rFonts w:ascii="Times New Roman" w:hAnsi="Times New Roman" w:cs="Times New Roman"/>
          <w:sz w:val="24"/>
          <w:szCs w:val="24"/>
        </w:rPr>
        <w:t>trial court</w:t>
      </w:r>
      <w:r w:rsidR="004C39E5">
        <w:rPr>
          <w:rFonts w:ascii="Times New Roman" w:hAnsi="Times New Roman" w:cs="Times New Roman"/>
          <w:sz w:val="24"/>
          <w:szCs w:val="24"/>
        </w:rPr>
        <w:t xml:space="preserve"> is permitted to disagree with Appellate Division decisions, “they are not free to disobey.”</w:t>
      </w:r>
      <w:r w:rsidR="004C39E5">
        <w:rPr>
          <w:rStyle w:val="FootnoteReference"/>
          <w:rFonts w:cs="Times New Roman"/>
          <w:sz w:val="24"/>
          <w:szCs w:val="24"/>
        </w:rPr>
        <w:footnoteReference w:id="23"/>
      </w:r>
    </w:p>
    <w:p w:rsidR="004D10ED" w:rsidRDefault="004D10ED" w:rsidP="001A682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1C2A" w:rsidRDefault="00FE2B42" w:rsidP="001A682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plain language of the statute has the discretionar</w:t>
      </w:r>
      <w:r w:rsidR="00973C20">
        <w:rPr>
          <w:rFonts w:ascii="Times New Roman" w:hAnsi="Times New Roman" w:cs="Times New Roman"/>
          <w:sz w:val="24"/>
          <w:szCs w:val="24"/>
        </w:rPr>
        <w:t xml:space="preserve">y word “may,” but the case law </w:t>
      </w:r>
      <w:r>
        <w:rPr>
          <w:rFonts w:ascii="Times New Roman" w:hAnsi="Times New Roman" w:cs="Times New Roman"/>
          <w:sz w:val="24"/>
          <w:szCs w:val="24"/>
        </w:rPr>
        <w:t xml:space="preserve">indicates that it would be unfair to </w:t>
      </w:r>
      <w:r w:rsidR="00CF52BB">
        <w:rPr>
          <w:rFonts w:ascii="Times New Roman" w:hAnsi="Times New Roman" w:cs="Times New Roman"/>
          <w:sz w:val="24"/>
          <w:szCs w:val="24"/>
        </w:rPr>
        <w:t xml:space="preserve">allow the burden of </w:t>
      </w:r>
      <w:r w:rsidR="004C7A10">
        <w:rPr>
          <w:rFonts w:ascii="Times New Roman" w:hAnsi="Times New Roman" w:cs="Times New Roman"/>
          <w:sz w:val="24"/>
          <w:szCs w:val="24"/>
        </w:rPr>
        <w:t xml:space="preserve">mistakenly-paid </w:t>
      </w:r>
      <w:r w:rsidR="00CF52BB">
        <w:rPr>
          <w:rFonts w:ascii="Times New Roman" w:hAnsi="Times New Roman" w:cs="Times New Roman"/>
          <w:sz w:val="24"/>
          <w:szCs w:val="24"/>
        </w:rPr>
        <w:t>taxes to</w:t>
      </w:r>
      <w:r w:rsidR="004C7A10">
        <w:rPr>
          <w:rFonts w:ascii="Times New Roman" w:hAnsi="Times New Roman" w:cs="Times New Roman"/>
          <w:sz w:val="24"/>
          <w:szCs w:val="24"/>
        </w:rPr>
        <w:t xml:space="preserve"> remain on the taxpayer when those</w:t>
      </w:r>
      <w:r w:rsidR="00CF52BB">
        <w:rPr>
          <w:rFonts w:ascii="Times New Roman" w:hAnsi="Times New Roman" w:cs="Times New Roman"/>
          <w:sz w:val="24"/>
          <w:szCs w:val="24"/>
        </w:rPr>
        <w:t xml:space="preserve"> taxes were </w:t>
      </w:r>
      <w:r w:rsidR="004C7A10">
        <w:rPr>
          <w:rFonts w:ascii="Times New Roman" w:hAnsi="Times New Roman" w:cs="Times New Roman"/>
          <w:sz w:val="24"/>
          <w:szCs w:val="24"/>
        </w:rPr>
        <w:t xml:space="preserve">initially </w:t>
      </w:r>
      <w:r w:rsidR="00CF52BB">
        <w:rPr>
          <w:rFonts w:ascii="Times New Roman" w:hAnsi="Times New Roman" w:cs="Times New Roman"/>
          <w:sz w:val="24"/>
          <w:szCs w:val="24"/>
        </w:rPr>
        <w:t>paid because of the municipality’s own error, it seem</w:t>
      </w:r>
      <w:r w:rsidR="003C7C4E">
        <w:rPr>
          <w:rFonts w:ascii="Times New Roman" w:hAnsi="Times New Roman" w:cs="Times New Roman"/>
          <w:sz w:val="24"/>
          <w:szCs w:val="24"/>
        </w:rPr>
        <w:t>s</w:t>
      </w:r>
      <w:r w:rsidR="00CF52BB">
        <w:rPr>
          <w:rFonts w:ascii="Times New Roman" w:hAnsi="Times New Roman" w:cs="Times New Roman"/>
          <w:sz w:val="24"/>
          <w:szCs w:val="24"/>
        </w:rPr>
        <w:t xml:space="preserve"> that this statute could benefit from a change in language to make it clear that a municipality </w:t>
      </w:r>
      <w:r w:rsidR="00CF52BB" w:rsidRPr="004C7A10">
        <w:rPr>
          <w:rFonts w:ascii="Times New Roman" w:hAnsi="Times New Roman" w:cs="Times New Roman"/>
          <w:i/>
          <w:sz w:val="24"/>
          <w:szCs w:val="24"/>
        </w:rPr>
        <w:t>must</w:t>
      </w:r>
      <w:r w:rsidR="00CF52BB">
        <w:rPr>
          <w:rFonts w:ascii="Times New Roman" w:hAnsi="Times New Roman" w:cs="Times New Roman"/>
          <w:sz w:val="24"/>
          <w:szCs w:val="24"/>
        </w:rPr>
        <w:t xml:space="preserve"> re-pay taxes</w:t>
      </w:r>
      <w:r w:rsidR="000C5901">
        <w:rPr>
          <w:rFonts w:ascii="Times New Roman" w:hAnsi="Times New Roman" w:cs="Times New Roman"/>
          <w:sz w:val="24"/>
          <w:szCs w:val="24"/>
        </w:rPr>
        <w:t>, at least in cases where</w:t>
      </w:r>
      <w:r w:rsidR="00CF52BB">
        <w:rPr>
          <w:rFonts w:ascii="Times New Roman" w:hAnsi="Times New Roman" w:cs="Times New Roman"/>
          <w:sz w:val="24"/>
          <w:szCs w:val="24"/>
        </w:rPr>
        <w:t xml:space="preserve"> </w:t>
      </w:r>
      <w:r w:rsidR="000C5901">
        <w:rPr>
          <w:rFonts w:ascii="Times New Roman" w:hAnsi="Times New Roman" w:cs="Times New Roman"/>
          <w:sz w:val="24"/>
          <w:szCs w:val="24"/>
        </w:rPr>
        <w:t xml:space="preserve">those taxes </w:t>
      </w:r>
      <w:r w:rsidR="00CF52BB">
        <w:rPr>
          <w:rFonts w:ascii="Times New Roman" w:hAnsi="Times New Roman" w:cs="Times New Roman"/>
          <w:sz w:val="24"/>
          <w:szCs w:val="24"/>
        </w:rPr>
        <w:t xml:space="preserve">were mistakenly paid </w:t>
      </w:r>
      <w:r w:rsidR="004C7A10">
        <w:rPr>
          <w:rFonts w:ascii="Times New Roman" w:hAnsi="Times New Roman" w:cs="Times New Roman"/>
          <w:sz w:val="24"/>
          <w:szCs w:val="24"/>
        </w:rPr>
        <w:t>as a result of a</w:t>
      </w:r>
      <w:r w:rsidR="00CF52BB">
        <w:rPr>
          <w:rFonts w:ascii="Times New Roman" w:hAnsi="Times New Roman" w:cs="Times New Roman"/>
          <w:sz w:val="24"/>
          <w:szCs w:val="24"/>
        </w:rPr>
        <w:t xml:space="preserve"> municipality’s error</w:t>
      </w:r>
      <w:r w:rsidR="000C5901">
        <w:rPr>
          <w:rFonts w:ascii="Times New Roman" w:hAnsi="Times New Roman" w:cs="Times New Roman"/>
          <w:sz w:val="24"/>
          <w:szCs w:val="24"/>
        </w:rPr>
        <w:t xml:space="preserve"> and not th</w:t>
      </w:r>
      <w:r w:rsidR="00973C20">
        <w:rPr>
          <w:rFonts w:ascii="Times New Roman" w:hAnsi="Times New Roman" w:cs="Times New Roman"/>
          <w:sz w:val="24"/>
          <w:szCs w:val="24"/>
        </w:rPr>
        <w:t xml:space="preserve">rough the fault of the taxpayer.  </w:t>
      </w:r>
    </w:p>
    <w:p w:rsidR="00973C20" w:rsidRDefault="00973C20" w:rsidP="001A682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3C20" w:rsidRDefault="00973C20" w:rsidP="001A682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Further, since the Tax Court vehemently disagreed with the Appellate Division that N.J.S. 54:4-54 and N.J.S. 54:51A-7 should be read together</w:t>
      </w:r>
      <w:r w:rsidR="0008412F">
        <w:rPr>
          <w:rFonts w:ascii="Times New Roman" w:hAnsi="Times New Roman" w:cs="Times New Roman"/>
          <w:sz w:val="24"/>
          <w:szCs w:val="24"/>
        </w:rPr>
        <w:t>, resulting in the three year statute of limitations in the latter to be conferred onto the former, and it was</w:t>
      </w:r>
      <w:r w:rsidR="002E7E29">
        <w:rPr>
          <w:rFonts w:ascii="Times New Roman" w:hAnsi="Times New Roman" w:cs="Times New Roman"/>
          <w:sz w:val="24"/>
          <w:szCs w:val="24"/>
        </w:rPr>
        <w:t xml:space="preserve"> the Tax Court’s opinion that </w:t>
      </w:r>
      <w:r>
        <w:rPr>
          <w:rFonts w:ascii="Times New Roman" w:hAnsi="Times New Roman" w:cs="Times New Roman"/>
          <w:sz w:val="24"/>
          <w:szCs w:val="24"/>
        </w:rPr>
        <w:t>both</w:t>
      </w:r>
      <w:r w:rsidR="002E7E29">
        <w:rPr>
          <w:rFonts w:ascii="Times New Roman" w:hAnsi="Times New Roman" w:cs="Times New Roman"/>
          <w:sz w:val="24"/>
          <w:szCs w:val="24"/>
        </w:rPr>
        <w:t xml:space="preserve"> statutes</w:t>
      </w:r>
      <w:r>
        <w:rPr>
          <w:rFonts w:ascii="Times New Roman" w:hAnsi="Times New Roman" w:cs="Times New Roman"/>
          <w:sz w:val="24"/>
          <w:szCs w:val="24"/>
        </w:rPr>
        <w:t xml:space="preserve"> deal with different “mistakes,”</w:t>
      </w:r>
      <w:r w:rsidR="002E7E29">
        <w:rPr>
          <w:rFonts w:ascii="Times New Roman" w:hAnsi="Times New Roman" w:cs="Times New Roman"/>
          <w:sz w:val="24"/>
          <w:szCs w:val="24"/>
        </w:rPr>
        <w:t xml:space="preserve"> where the Appellate Division declared they deal </w:t>
      </w:r>
      <w:r w:rsidR="002E7E29">
        <w:rPr>
          <w:rFonts w:ascii="Times New Roman" w:hAnsi="Times New Roman" w:cs="Times New Roman"/>
          <w:sz w:val="24"/>
          <w:szCs w:val="24"/>
        </w:rPr>
        <w:lastRenderedPageBreak/>
        <w:t>with the “same wrongs,”</w:t>
      </w:r>
      <w:r>
        <w:rPr>
          <w:rFonts w:ascii="Times New Roman" w:hAnsi="Times New Roman" w:cs="Times New Roman"/>
          <w:sz w:val="24"/>
          <w:szCs w:val="24"/>
        </w:rPr>
        <w:t xml:space="preserve"> it may be </w:t>
      </w:r>
      <w:r w:rsidR="005902FD">
        <w:rPr>
          <w:rFonts w:ascii="Times New Roman" w:hAnsi="Times New Roman" w:cs="Times New Roman"/>
          <w:sz w:val="24"/>
          <w:szCs w:val="24"/>
        </w:rPr>
        <w:t>useful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5902FD">
        <w:rPr>
          <w:rFonts w:ascii="Times New Roman" w:hAnsi="Times New Roman" w:cs="Times New Roman"/>
          <w:sz w:val="24"/>
          <w:szCs w:val="24"/>
        </w:rPr>
        <w:t>review</w:t>
      </w:r>
      <w:r w:rsidR="002E7E29">
        <w:rPr>
          <w:rFonts w:ascii="Times New Roman" w:hAnsi="Times New Roman" w:cs="Times New Roman"/>
          <w:sz w:val="24"/>
          <w:szCs w:val="24"/>
        </w:rPr>
        <w:t xml:space="preserve"> those two statutes and their relationship to each other.</w:t>
      </w:r>
    </w:p>
    <w:p w:rsidR="00431C2A" w:rsidRDefault="00431C2A" w:rsidP="00431C2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C2A" w:rsidRPr="00431C2A" w:rsidRDefault="00431C2A" w:rsidP="00431C2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C2A">
        <w:rPr>
          <w:rFonts w:ascii="Times New Roman" w:eastAsia="Times New Roman" w:hAnsi="Times New Roman" w:cs="Times New Roman"/>
          <w:b/>
          <w:sz w:val="24"/>
          <w:szCs w:val="24"/>
        </w:rPr>
        <w:t>Conclusion</w:t>
      </w:r>
    </w:p>
    <w:p w:rsidR="00431C2A" w:rsidRDefault="00431C2A" w:rsidP="00431C2A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1C2A" w:rsidRDefault="004C7A10" w:rsidP="00431C2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Staff seeks </w:t>
      </w:r>
      <w:r w:rsidR="00C549EA">
        <w:rPr>
          <w:rFonts w:ascii="Times New Roman" w:eastAsia="Times New Roman" w:hAnsi="Times New Roman" w:cs="Times New Roman"/>
          <w:sz w:val="24"/>
          <w:szCs w:val="24"/>
        </w:rPr>
        <w:t xml:space="preserve">authorization to conduct research and additional outreach </w:t>
      </w:r>
      <w:r w:rsidR="0016262D">
        <w:rPr>
          <w:rFonts w:ascii="Times New Roman" w:eastAsia="Times New Roman" w:hAnsi="Times New Roman" w:cs="Times New Roman"/>
          <w:sz w:val="24"/>
          <w:szCs w:val="24"/>
        </w:rPr>
        <w:t xml:space="preserve">regarding this issue to determine whether modifying N.J.S. 54:4-54 to clarify </w:t>
      </w:r>
      <w:r w:rsidR="00E92FDF">
        <w:rPr>
          <w:rFonts w:ascii="Times New Roman" w:eastAsia="Times New Roman" w:hAnsi="Times New Roman" w:cs="Times New Roman"/>
          <w:sz w:val="24"/>
          <w:szCs w:val="24"/>
        </w:rPr>
        <w:t>whether</w:t>
      </w:r>
      <w:r w:rsidR="0016262D">
        <w:rPr>
          <w:rFonts w:ascii="Times New Roman" w:eastAsia="Times New Roman" w:hAnsi="Times New Roman" w:cs="Times New Roman"/>
          <w:sz w:val="24"/>
          <w:szCs w:val="24"/>
        </w:rPr>
        <w:t xml:space="preserve"> repayment of </w:t>
      </w:r>
      <w:r w:rsidR="009D1F9A">
        <w:rPr>
          <w:rFonts w:ascii="Times New Roman" w:eastAsia="Times New Roman" w:hAnsi="Times New Roman" w:cs="Times New Roman"/>
          <w:sz w:val="24"/>
          <w:szCs w:val="24"/>
        </w:rPr>
        <w:t xml:space="preserve">taxes mistakenly-paid </w:t>
      </w:r>
      <w:r w:rsidR="0016262D">
        <w:rPr>
          <w:rFonts w:ascii="Times New Roman" w:eastAsia="Times New Roman" w:hAnsi="Times New Roman" w:cs="Times New Roman"/>
          <w:sz w:val="24"/>
          <w:szCs w:val="24"/>
        </w:rPr>
        <w:t>due to the error of a</w:t>
      </w:r>
      <w:bookmarkStart w:id="0" w:name="_GoBack"/>
      <w:bookmarkEnd w:id="0"/>
      <w:r w:rsidR="0016262D">
        <w:rPr>
          <w:rFonts w:ascii="Times New Roman" w:eastAsia="Times New Roman" w:hAnsi="Times New Roman" w:cs="Times New Roman"/>
          <w:sz w:val="24"/>
          <w:szCs w:val="24"/>
        </w:rPr>
        <w:t xml:space="preserve"> municipality is mandatory</w:t>
      </w:r>
      <w:r w:rsidR="0010339C">
        <w:rPr>
          <w:rFonts w:ascii="Times New Roman" w:eastAsia="Times New Roman" w:hAnsi="Times New Roman" w:cs="Times New Roman"/>
          <w:sz w:val="24"/>
          <w:szCs w:val="24"/>
        </w:rPr>
        <w:t>, not discretionary,</w:t>
      </w:r>
      <w:r w:rsidR="000C5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12F">
        <w:rPr>
          <w:rFonts w:ascii="Times New Roman" w:eastAsia="Times New Roman" w:hAnsi="Times New Roman" w:cs="Times New Roman"/>
          <w:sz w:val="24"/>
          <w:szCs w:val="24"/>
        </w:rPr>
        <w:t>as well as whether N.J.S. 54:4-54 and N.J.S. 54:51A-7 should be read</w:t>
      </w:r>
      <w:r w:rsidR="00E92FDF">
        <w:rPr>
          <w:rFonts w:ascii="Times New Roman" w:eastAsia="Times New Roman" w:hAnsi="Times New Roman" w:cs="Times New Roman"/>
          <w:sz w:val="24"/>
          <w:szCs w:val="24"/>
        </w:rPr>
        <w:t xml:space="preserve"> together, would be beneficial and provide clarity.</w:t>
      </w:r>
    </w:p>
    <w:p w:rsidR="00853A15" w:rsidRPr="00431C2A" w:rsidRDefault="00853A15" w:rsidP="00431C2A"/>
    <w:sectPr w:rsidR="00853A15" w:rsidRPr="00431C2A" w:rsidSect="00152C5E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2A" w:rsidRDefault="005E572A" w:rsidP="005E572A">
      <w:r>
        <w:separator/>
      </w:r>
    </w:p>
  </w:endnote>
  <w:endnote w:type="continuationSeparator" w:id="0">
    <w:p w:rsidR="005E572A" w:rsidRDefault="005E572A" w:rsidP="005E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ED" w:rsidRDefault="001628ED" w:rsidP="000E74F9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 w:rsidRPr="001628ED">
      <w:rPr>
        <w:rFonts w:ascii="Times New Roman" w:hAnsi="Times New Roman" w:cs="Times New Roman"/>
        <w:b/>
        <w:i/>
        <w:sz w:val="20"/>
        <w:szCs w:val="20"/>
      </w:rPr>
      <w:t xml:space="preserve">Hanover Floral Co. v. E. Hanover Twp. </w:t>
    </w:r>
    <w:r w:rsidRPr="001628ED">
      <w:rPr>
        <w:rFonts w:ascii="Times New Roman" w:hAnsi="Times New Roman" w:cs="Times New Roman"/>
        <w:b/>
        <w:sz w:val="20"/>
        <w:szCs w:val="20"/>
      </w:rPr>
      <w:t>and N.J.S. 54:4-54</w:t>
    </w:r>
  </w:p>
  <w:p w:rsidR="00152C5E" w:rsidRDefault="001628ED" w:rsidP="000E74F9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July 24</w:t>
    </w:r>
    <w:r w:rsidR="00A5203F" w:rsidRPr="0074698C">
      <w:rPr>
        <w:rFonts w:ascii="Times New Roman" w:hAnsi="Times New Roman" w:cs="Times New Roman"/>
        <w:sz w:val="20"/>
        <w:szCs w:val="20"/>
      </w:rPr>
      <w:t>, 201</w:t>
    </w:r>
    <w:r w:rsidR="00152C5E">
      <w:rPr>
        <w:rFonts w:ascii="Times New Roman" w:hAnsi="Times New Roman" w:cs="Times New Roman"/>
        <w:sz w:val="20"/>
        <w:szCs w:val="20"/>
      </w:rPr>
      <w:t>8</w:t>
    </w:r>
  </w:p>
  <w:p w:rsidR="0074698C" w:rsidRPr="0074698C" w:rsidRDefault="00A5203F" w:rsidP="000E74F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4698C">
      <w:rPr>
        <w:rFonts w:ascii="Times New Roman" w:hAnsi="Times New Roman" w:cs="Times New Roman"/>
        <w:sz w:val="20"/>
        <w:szCs w:val="20"/>
      </w:rPr>
      <w:t xml:space="preserve">Page </w:t>
    </w:r>
    <w:r w:rsidRPr="0074698C">
      <w:rPr>
        <w:rFonts w:ascii="Times New Roman" w:hAnsi="Times New Roman" w:cs="Times New Roman"/>
        <w:sz w:val="20"/>
        <w:szCs w:val="20"/>
      </w:rPr>
      <w:fldChar w:fldCharType="begin"/>
    </w:r>
    <w:r w:rsidRPr="0074698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74698C">
      <w:rPr>
        <w:rFonts w:ascii="Times New Roman" w:hAnsi="Times New Roman" w:cs="Times New Roman"/>
        <w:sz w:val="20"/>
        <w:szCs w:val="20"/>
      </w:rPr>
      <w:fldChar w:fldCharType="separate"/>
    </w:r>
    <w:r w:rsidR="005902FD">
      <w:rPr>
        <w:rFonts w:ascii="Times New Roman" w:hAnsi="Times New Roman" w:cs="Times New Roman"/>
        <w:noProof/>
        <w:sz w:val="20"/>
        <w:szCs w:val="20"/>
      </w:rPr>
      <w:t>3</w:t>
    </w:r>
    <w:r w:rsidRPr="0074698C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2A" w:rsidRDefault="005E572A" w:rsidP="005E572A">
      <w:r>
        <w:separator/>
      </w:r>
    </w:p>
  </w:footnote>
  <w:footnote w:type="continuationSeparator" w:id="0">
    <w:p w:rsidR="005E572A" w:rsidRDefault="005E572A" w:rsidP="005E572A">
      <w:r>
        <w:continuationSeparator/>
      </w:r>
    </w:p>
  </w:footnote>
  <w:footnote w:id="1">
    <w:p w:rsidR="00431C2A" w:rsidRDefault="00431C2A" w:rsidP="00431C2A">
      <w:pPr>
        <w:pStyle w:val="FootnoteText"/>
        <w:rPr>
          <w:rFonts w:cs="Times New Roman"/>
        </w:rPr>
      </w:pPr>
      <w:r>
        <w:rPr>
          <w:rStyle w:val="FootnoteReference"/>
        </w:rPr>
        <w:footnoteRef/>
      </w:r>
      <w:r>
        <w:rPr>
          <w:rFonts w:cs="Times New Roman"/>
        </w:rPr>
        <w:t xml:space="preserve"> </w:t>
      </w:r>
      <w:r w:rsidR="004D3CC2">
        <w:rPr>
          <w:rFonts w:cs="Times New Roman"/>
          <w:i/>
        </w:rPr>
        <w:t>Hanover Floral Co. v. E. Hanover Twp.</w:t>
      </w:r>
      <w:r w:rsidR="004D3CC2">
        <w:rPr>
          <w:rFonts w:cs="Times New Roman"/>
        </w:rPr>
        <w:t xml:space="preserve"> 30 N.J. Tax 181 (2017)</w:t>
      </w:r>
      <w:r w:rsidR="00D81779">
        <w:rPr>
          <w:rFonts w:cs="Times New Roman"/>
        </w:rPr>
        <w:t xml:space="preserve">, </w:t>
      </w:r>
      <w:r w:rsidR="00D81779">
        <w:rPr>
          <w:rFonts w:cs="Times New Roman"/>
          <w:i/>
        </w:rPr>
        <w:t>as corrected</w:t>
      </w:r>
      <w:r w:rsidR="00D81779">
        <w:rPr>
          <w:rFonts w:cs="Times New Roman"/>
        </w:rPr>
        <w:t xml:space="preserve"> (February 13, 2018)</w:t>
      </w:r>
      <w:r>
        <w:rPr>
          <w:rFonts w:cs="Times New Roman"/>
        </w:rPr>
        <w:t>.</w:t>
      </w:r>
    </w:p>
  </w:footnote>
  <w:footnote w:id="2">
    <w:p w:rsidR="00D81779" w:rsidRPr="00D81779" w:rsidRDefault="00D817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189.</w:t>
      </w:r>
    </w:p>
  </w:footnote>
  <w:footnote w:id="3">
    <w:p w:rsidR="00072663" w:rsidRPr="00072663" w:rsidRDefault="000726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Id. </w:t>
      </w:r>
      <w:r>
        <w:t>at 199.</w:t>
      </w:r>
    </w:p>
  </w:footnote>
  <w:footnote w:id="4">
    <w:p w:rsidR="00431C2A" w:rsidRDefault="00431C2A" w:rsidP="00431C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Id. </w:t>
      </w:r>
      <w:r w:rsidR="00B242E1">
        <w:t>at 194-95</w:t>
      </w:r>
      <w:r>
        <w:t>.</w:t>
      </w:r>
    </w:p>
  </w:footnote>
  <w:footnote w:id="5">
    <w:p w:rsidR="002C25D4" w:rsidRPr="002C25D4" w:rsidRDefault="002C25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Id. </w:t>
      </w:r>
      <w:r>
        <w:t>at 199, n. 6.</w:t>
      </w:r>
    </w:p>
  </w:footnote>
  <w:footnote w:id="6">
    <w:p w:rsidR="006E005D" w:rsidRPr="006E005D" w:rsidRDefault="006E005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184-85.</w:t>
      </w:r>
    </w:p>
  </w:footnote>
  <w:footnote w:id="7">
    <w:p w:rsidR="005F59F2" w:rsidRPr="005F59F2" w:rsidRDefault="005F59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185.</w:t>
      </w:r>
    </w:p>
  </w:footnote>
  <w:footnote w:id="8">
    <w:p w:rsidR="005F59F2" w:rsidRPr="005F59F2" w:rsidRDefault="005F59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 w:rsidR="006E7966">
        <w:t xml:space="preserve"> </w:t>
      </w:r>
    </w:p>
  </w:footnote>
  <w:footnote w:id="9">
    <w:p w:rsidR="006E7966" w:rsidRPr="006E7966" w:rsidRDefault="006E79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</w:t>
      </w:r>
    </w:p>
  </w:footnote>
  <w:footnote w:id="10">
    <w:p w:rsidR="008D1573" w:rsidRPr="008D1573" w:rsidRDefault="008D15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Id. </w:t>
      </w:r>
      <w:r>
        <w:t xml:space="preserve">at </w:t>
      </w:r>
      <w:r w:rsidR="00C33FB0">
        <w:t>185-86.</w:t>
      </w:r>
    </w:p>
  </w:footnote>
  <w:footnote w:id="11">
    <w:p w:rsidR="00AA0497" w:rsidRPr="00AA0497" w:rsidRDefault="00AA04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</w:t>
      </w:r>
      <w:r w:rsidR="00F53AFF">
        <w:t>187-88.</w:t>
      </w:r>
    </w:p>
  </w:footnote>
  <w:footnote w:id="12">
    <w:p w:rsidR="00254AE1" w:rsidRPr="00254AE1" w:rsidRDefault="00254A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186.</w:t>
      </w:r>
    </w:p>
  </w:footnote>
  <w:footnote w:id="13">
    <w:p w:rsidR="00205273" w:rsidRPr="00205273" w:rsidRDefault="002052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187-89.</w:t>
      </w:r>
    </w:p>
  </w:footnote>
  <w:footnote w:id="14">
    <w:p w:rsidR="005A3AAB" w:rsidRPr="00DC2336" w:rsidRDefault="005A3A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 w:rsidR="00DC2336">
        <w:t xml:space="preserve"> at 189.</w:t>
      </w:r>
    </w:p>
  </w:footnote>
  <w:footnote w:id="15">
    <w:p w:rsidR="004D10ED" w:rsidRDefault="004D10ED">
      <w:pPr>
        <w:pStyle w:val="FootnoteText"/>
      </w:pPr>
      <w:r>
        <w:rPr>
          <w:rStyle w:val="FootnoteReference"/>
        </w:rPr>
        <w:footnoteRef/>
      </w:r>
      <w:r w:rsidR="001F486B">
        <w:t xml:space="preserve"> N.J.S. 54:4-54 (emphasis added).</w:t>
      </w:r>
    </w:p>
  </w:footnote>
  <w:footnote w:id="16">
    <w:p w:rsidR="004D10ED" w:rsidRPr="005A125A" w:rsidRDefault="004D10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32D6C">
        <w:rPr>
          <w:i/>
        </w:rPr>
        <w:t>Hanover Floral</w:t>
      </w:r>
      <w:r w:rsidR="00B32D6C">
        <w:t>, 30 N.J. T</w:t>
      </w:r>
      <w:r w:rsidR="005A125A">
        <w:t xml:space="preserve">ax at 194-95 (quoting </w:t>
      </w:r>
      <w:r w:rsidR="005A125A">
        <w:rPr>
          <w:i/>
        </w:rPr>
        <w:t>JC Trapper, LLC v. City of Jersey City</w:t>
      </w:r>
      <w:r w:rsidR="005A125A">
        <w:t xml:space="preserve">, 19 N.J. Tax 421, 430 (Tax 2001), </w:t>
      </w:r>
      <w:r w:rsidR="005A125A">
        <w:rPr>
          <w:i/>
        </w:rPr>
        <w:t xml:space="preserve">aff’d </w:t>
      </w:r>
      <w:proofErr w:type="spellStart"/>
      <w:r w:rsidR="005A125A">
        <w:rPr>
          <w:i/>
        </w:rPr>
        <w:t>o.b</w:t>
      </w:r>
      <w:proofErr w:type="spellEnd"/>
      <w:r w:rsidR="005A125A">
        <w:rPr>
          <w:i/>
        </w:rPr>
        <w:t>.</w:t>
      </w:r>
      <w:r w:rsidR="005A125A">
        <w:t>, 20 N.J. Tax 239 (Ap</w:t>
      </w:r>
      <w:r w:rsidR="00E76D9C">
        <w:t>p</w:t>
      </w:r>
      <w:r w:rsidR="005A125A">
        <w:t>. Div. 2002)</w:t>
      </w:r>
      <w:r w:rsidR="00CA7445">
        <w:t>)</w:t>
      </w:r>
      <w:r w:rsidR="005A125A">
        <w:t>.</w:t>
      </w:r>
    </w:p>
  </w:footnote>
  <w:footnote w:id="17">
    <w:p w:rsidR="00D44854" w:rsidRPr="00E17BA6" w:rsidRDefault="00D44854">
      <w:pPr>
        <w:pStyle w:val="FootnoteText"/>
      </w:pPr>
      <w:r>
        <w:rPr>
          <w:rStyle w:val="FootnoteReference"/>
        </w:rPr>
        <w:footnoteRef/>
      </w:r>
      <w:r w:rsidR="00F62267">
        <w:t xml:space="preserve"> It is important to note that a</w:t>
      </w:r>
      <w:r w:rsidR="00E17BA6">
        <w:t xml:space="preserve">lthough N.J.S. 54:4-54 was the statute at issue in </w:t>
      </w:r>
      <w:r w:rsidR="00E17BA6">
        <w:rPr>
          <w:i/>
        </w:rPr>
        <w:t>Farmingdale</w:t>
      </w:r>
      <w:r w:rsidR="00F62267">
        <w:t>, that case</w:t>
      </w:r>
      <w:r w:rsidR="00E17BA6">
        <w:t xml:space="preserve"> dealt with the first sentence pertaining to </w:t>
      </w:r>
      <w:r w:rsidR="00E17BA6">
        <w:rPr>
          <w:i/>
        </w:rPr>
        <w:t>duplicate</w:t>
      </w:r>
      <w:r w:rsidR="00E17BA6">
        <w:t xml:space="preserve"> payments, not payments mistakenly-made due to a municipality’s error, and the first part of the statute pertaining to duplicate payments contains the word </w:t>
      </w:r>
      <w:r w:rsidR="00E17BA6">
        <w:rPr>
          <w:i/>
        </w:rPr>
        <w:t>shall</w:t>
      </w:r>
      <w:r w:rsidR="00F62267">
        <w:t xml:space="preserve"> and not may.</w:t>
      </w:r>
    </w:p>
  </w:footnote>
  <w:footnote w:id="18">
    <w:p w:rsidR="00F13840" w:rsidRPr="00AD31C9" w:rsidRDefault="00F138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 w:rsidR="000432AD">
        <w:t xml:space="preserve"> at 195 (quoting </w:t>
      </w:r>
      <w:proofErr w:type="spellStart"/>
      <w:r w:rsidR="000432AD">
        <w:rPr>
          <w:i/>
        </w:rPr>
        <w:t>McShain</w:t>
      </w:r>
      <w:proofErr w:type="spellEnd"/>
      <w:r w:rsidR="000432AD">
        <w:rPr>
          <w:i/>
        </w:rPr>
        <w:t xml:space="preserve"> v. Twp. of </w:t>
      </w:r>
      <w:proofErr w:type="spellStart"/>
      <w:r w:rsidR="000432AD">
        <w:rPr>
          <w:i/>
        </w:rPr>
        <w:t>Evesham</w:t>
      </w:r>
      <w:proofErr w:type="spellEnd"/>
      <w:r w:rsidR="00AD31C9">
        <w:t xml:space="preserve">, 163 N.J. Super. 522, 527 (Law Div. 1978) (citing </w:t>
      </w:r>
      <w:r w:rsidR="00AD31C9">
        <w:rPr>
          <w:i/>
        </w:rPr>
        <w:t>Farmingdale Realty Co. v. Borough of Farmingdale</w:t>
      </w:r>
      <w:r w:rsidR="00AD31C9">
        <w:t>, 55 N.J. 103, 110-11 (1969))).</w:t>
      </w:r>
    </w:p>
  </w:footnote>
  <w:footnote w:id="19">
    <w:p w:rsidR="00C10F67" w:rsidRPr="00C10F67" w:rsidRDefault="00C10F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195 (quoting </w:t>
      </w:r>
      <w:proofErr w:type="spellStart"/>
      <w:r>
        <w:rPr>
          <w:i/>
        </w:rPr>
        <w:t>McShain</w:t>
      </w:r>
      <w:proofErr w:type="spellEnd"/>
      <w:r>
        <w:t>, 163 N.J. Super. at 527).</w:t>
      </w:r>
    </w:p>
  </w:footnote>
  <w:footnote w:id="20">
    <w:p w:rsidR="00C72A60" w:rsidRPr="00F600E7" w:rsidRDefault="00C72A60">
      <w:pPr>
        <w:pStyle w:val="FootnoteText"/>
      </w:pPr>
      <w:r>
        <w:rPr>
          <w:rStyle w:val="FootnoteReference"/>
        </w:rPr>
        <w:footnoteRef/>
      </w:r>
      <w:r w:rsidR="00F600E7">
        <w:t xml:space="preserve"> </w:t>
      </w:r>
      <w:r w:rsidR="00F600E7">
        <w:rPr>
          <w:i/>
        </w:rPr>
        <w:t>Id.</w:t>
      </w:r>
      <w:r w:rsidR="00F600E7">
        <w:t xml:space="preserve"> At 199, n. 6.</w:t>
      </w:r>
    </w:p>
  </w:footnote>
  <w:footnote w:id="21">
    <w:p w:rsidR="00F600E7" w:rsidRPr="00F600E7" w:rsidRDefault="00F600E7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</w:p>
  </w:footnote>
  <w:footnote w:id="22">
    <w:p w:rsidR="008B5A28" w:rsidRPr="008B5A28" w:rsidRDefault="008B5A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n. 6.</w:t>
      </w:r>
    </w:p>
  </w:footnote>
  <w:footnote w:id="23">
    <w:p w:rsidR="004C39E5" w:rsidRPr="00A67790" w:rsidRDefault="004C39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</w:t>
      </w:r>
      <w:r w:rsidR="00A67790">
        <w:t xml:space="preserve">at 199, n. 6 (quoting </w:t>
      </w:r>
      <w:r w:rsidR="00A67790">
        <w:rPr>
          <w:i/>
        </w:rPr>
        <w:t>Tuition Plan v. Director, Div. of Taxation</w:t>
      </w:r>
      <w:r w:rsidR="00A67790">
        <w:t>, 4 N.J. Tax 470, 485 (Tax 1982).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2A"/>
    <w:rsid w:val="00014AD2"/>
    <w:rsid w:val="0003224A"/>
    <w:rsid w:val="000432AD"/>
    <w:rsid w:val="000556ED"/>
    <w:rsid w:val="00072663"/>
    <w:rsid w:val="0008412F"/>
    <w:rsid w:val="000938C3"/>
    <w:rsid w:val="000A0144"/>
    <w:rsid w:val="000C5901"/>
    <w:rsid w:val="000E74F9"/>
    <w:rsid w:val="0010339C"/>
    <w:rsid w:val="00152C5E"/>
    <w:rsid w:val="0016262D"/>
    <w:rsid w:val="001628ED"/>
    <w:rsid w:val="001A6824"/>
    <w:rsid w:val="001B4838"/>
    <w:rsid w:val="001C642B"/>
    <w:rsid w:val="001F486B"/>
    <w:rsid w:val="00205273"/>
    <w:rsid w:val="00254AE1"/>
    <w:rsid w:val="00255906"/>
    <w:rsid w:val="002657DE"/>
    <w:rsid w:val="002725CE"/>
    <w:rsid w:val="002C25D4"/>
    <w:rsid w:val="002E7E29"/>
    <w:rsid w:val="003478EF"/>
    <w:rsid w:val="00362AF5"/>
    <w:rsid w:val="003844F2"/>
    <w:rsid w:val="003C7C4E"/>
    <w:rsid w:val="00431C2A"/>
    <w:rsid w:val="004A5EBE"/>
    <w:rsid w:val="004C39E5"/>
    <w:rsid w:val="004C7A10"/>
    <w:rsid w:val="004D10ED"/>
    <w:rsid w:val="004D3CC2"/>
    <w:rsid w:val="005851D7"/>
    <w:rsid w:val="005902FD"/>
    <w:rsid w:val="00595A90"/>
    <w:rsid w:val="005A125A"/>
    <w:rsid w:val="005A3AAB"/>
    <w:rsid w:val="005B2DEC"/>
    <w:rsid w:val="005E572A"/>
    <w:rsid w:val="005F59F2"/>
    <w:rsid w:val="00644A96"/>
    <w:rsid w:val="006E005D"/>
    <w:rsid w:val="006E348E"/>
    <w:rsid w:val="006E7966"/>
    <w:rsid w:val="00707F5D"/>
    <w:rsid w:val="00714B45"/>
    <w:rsid w:val="00716589"/>
    <w:rsid w:val="0072426B"/>
    <w:rsid w:val="00797A10"/>
    <w:rsid w:val="007F3EBC"/>
    <w:rsid w:val="00806804"/>
    <w:rsid w:val="00853A15"/>
    <w:rsid w:val="00870FC7"/>
    <w:rsid w:val="00890647"/>
    <w:rsid w:val="008933F6"/>
    <w:rsid w:val="008B5A28"/>
    <w:rsid w:val="008B6FBB"/>
    <w:rsid w:val="008D1573"/>
    <w:rsid w:val="00922F83"/>
    <w:rsid w:val="00964C69"/>
    <w:rsid w:val="00973C20"/>
    <w:rsid w:val="009C6562"/>
    <w:rsid w:val="009D1F9A"/>
    <w:rsid w:val="009D5228"/>
    <w:rsid w:val="00A5203F"/>
    <w:rsid w:val="00A67790"/>
    <w:rsid w:val="00A71D0F"/>
    <w:rsid w:val="00AA0497"/>
    <w:rsid w:val="00AC3565"/>
    <w:rsid w:val="00AD31C9"/>
    <w:rsid w:val="00AE30CD"/>
    <w:rsid w:val="00B242E1"/>
    <w:rsid w:val="00B32D6C"/>
    <w:rsid w:val="00B76EA6"/>
    <w:rsid w:val="00BA0903"/>
    <w:rsid w:val="00C10F67"/>
    <w:rsid w:val="00C117D0"/>
    <w:rsid w:val="00C33FB0"/>
    <w:rsid w:val="00C547F0"/>
    <w:rsid w:val="00C549EA"/>
    <w:rsid w:val="00C72A60"/>
    <w:rsid w:val="00C87B80"/>
    <w:rsid w:val="00C9450B"/>
    <w:rsid w:val="00CA7445"/>
    <w:rsid w:val="00CF52BB"/>
    <w:rsid w:val="00D44854"/>
    <w:rsid w:val="00D81779"/>
    <w:rsid w:val="00DB1213"/>
    <w:rsid w:val="00DC2336"/>
    <w:rsid w:val="00DF5E27"/>
    <w:rsid w:val="00E17BA6"/>
    <w:rsid w:val="00E26B16"/>
    <w:rsid w:val="00E35538"/>
    <w:rsid w:val="00E76D9C"/>
    <w:rsid w:val="00E818D4"/>
    <w:rsid w:val="00E92FDF"/>
    <w:rsid w:val="00F13840"/>
    <w:rsid w:val="00F53AFF"/>
    <w:rsid w:val="00F54387"/>
    <w:rsid w:val="00F600E7"/>
    <w:rsid w:val="00F62267"/>
    <w:rsid w:val="00F96885"/>
    <w:rsid w:val="00FD7849"/>
    <w:rsid w:val="00F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30B97-E2CC-4816-A869-14E6406C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72A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E572A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572A"/>
    <w:rPr>
      <w:rFonts w:cstheme="minorBidi"/>
      <w:b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572A"/>
    <w:rPr>
      <w:rFonts w:ascii="Times New Roman" w:hAnsi="Times New Roman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E5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72A"/>
    <w:rPr>
      <w:rFonts w:asciiTheme="minorHAnsi" w:hAnsiTheme="minorHAnsi" w:cstheme="minorBidi"/>
      <w:b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E7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4F9"/>
    <w:rPr>
      <w:rFonts w:ascii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6AC749-509D-4141-B215-D061AB71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Clerk3</dc:creator>
  <cp:lastModifiedBy>L Tharney</cp:lastModifiedBy>
  <cp:revision>5</cp:revision>
  <dcterms:created xsi:type="dcterms:W3CDTF">2018-10-03T20:37:00Z</dcterms:created>
  <dcterms:modified xsi:type="dcterms:W3CDTF">2018-10-03T20:45:00Z</dcterms:modified>
</cp:coreProperties>
</file>