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E383C" w14:textId="77777777" w:rsidR="00C17B89" w:rsidRDefault="00C17B89" w:rsidP="00C17B89">
      <w:pPr>
        <w:spacing w:after="0" w:line="240" w:lineRule="auto"/>
        <w:jc w:val="center"/>
        <w:rPr>
          <w:b/>
          <w:sz w:val="28"/>
        </w:rPr>
      </w:pPr>
      <w:bookmarkStart w:id="0" w:name="_Hlk529127909"/>
      <w:bookmarkEnd w:id="0"/>
      <w:r>
        <w:rPr>
          <w:noProof/>
        </w:rPr>
        <w:drawing>
          <wp:inline distT="0" distB="0" distL="0" distR="0" wp14:anchorId="1F853344" wp14:editId="540C858D">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14:paraId="5DB046A3" w14:textId="77777777" w:rsidR="00C17B89" w:rsidRDefault="00C17B89" w:rsidP="00C17B89">
      <w:pPr>
        <w:spacing w:after="0" w:line="240" w:lineRule="auto"/>
        <w:rPr>
          <w:b/>
          <w:sz w:val="28"/>
        </w:rPr>
      </w:pPr>
    </w:p>
    <w:p w14:paraId="4E92CA2F" w14:textId="77777777" w:rsidR="00C17B89" w:rsidRPr="00990737" w:rsidRDefault="00C17B89" w:rsidP="00C17B89">
      <w:pPr>
        <w:spacing w:after="0" w:line="240" w:lineRule="auto"/>
        <w:jc w:val="center"/>
        <w:rPr>
          <w:b/>
          <w:sz w:val="28"/>
        </w:rPr>
      </w:pPr>
      <w:r w:rsidRPr="00990737">
        <w:rPr>
          <w:b/>
          <w:sz w:val="28"/>
        </w:rPr>
        <w:t>NEW JERSEY LAW REVISION COMMISSION</w:t>
      </w:r>
    </w:p>
    <w:p w14:paraId="70634749" w14:textId="77777777" w:rsidR="00C17B89" w:rsidRPr="00990737" w:rsidRDefault="00C17B89" w:rsidP="00C17B89">
      <w:pPr>
        <w:spacing w:after="0" w:line="240" w:lineRule="auto"/>
        <w:jc w:val="center"/>
        <w:rPr>
          <w:b/>
          <w:sz w:val="28"/>
        </w:rPr>
      </w:pPr>
    </w:p>
    <w:p w14:paraId="2B3C4573" w14:textId="5BDA2D98" w:rsidR="00AA57F1" w:rsidRDefault="00EC3183" w:rsidP="00C17B89">
      <w:pPr>
        <w:spacing w:after="0" w:line="240" w:lineRule="auto"/>
        <w:jc w:val="center"/>
        <w:rPr>
          <w:b/>
          <w:sz w:val="28"/>
        </w:rPr>
      </w:pPr>
      <w:r>
        <w:rPr>
          <w:b/>
          <w:sz w:val="28"/>
        </w:rPr>
        <w:t xml:space="preserve">Revised </w:t>
      </w:r>
      <w:r w:rsidR="00C17B89" w:rsidRPr="00990737">
        <w:rPr>
          <w:b/>
          <w:sz w:val="28"/>
        </w:rPr>
        <w:t>Draft Tentative Report</w:t>
      </w:r>
      <w:r w:rsidR="00C17B89">
        <w:rPr>
          <w:b/>
          <w:sz w:val="28"/>
        </w:rPr>
        <w:t xml:space="preserve"> </w:t>
      </w:r>
    </w:p>
    <w:p w14:paraId="65000D6B" w14:textId="0770548B" w:rsidR="00C17B89" w:rsidRDefault="00AA57F1" w:rsidP="00C17B89">
      <w:pPr>
        <w:spacing w:after="0" w:line="240" w:lineRule="auto"/>
        <w:jc w:val="center"/>
        <w:rPr>
          <w:b/>
          <w:sz w:val="28"/>
        </w:rPr>
      </w:pPr>
      <w:r>
        <w:rPr>
          <w:b/>
          <w:sz w:val="28"/>
        </w:rPr>
        <w:t xml:space="preserve">Regarding </w:t>
      </w:r>
      <w:r w:rsidR="002F1680">
        <w:rPr>
          <w:b/>
          <w:sz w:val="28"/>
        </w:rPr>
        <w:t>the Terms</w:t>
      </w:r>
    </w:p>
    <w:p w14:paraId="1778BC92" w14:textId="77777777" w:rsidR="002F1680" w:rsidRDefault="002F1680" w:rsidP="00C17B89">
      <w:pPr>
        <w:spacing w:after="0" w:line="240" w:lineRule="auto"/>
        <w:jc w:val="center"/>
        <w:rPr>
          <w:b/>
          <w:sz w:val="28"/>
        </w:rPr>
      </w:pPr>
      <w:r>
        <w:rPr>
          <w:b/>
          <w:sz w:val="28"/>
        </w:rPr>
        <w:t xml:space="preserve">“Public” and “Tumultuous” as used in the </w:t>
      </w:r>
    </w:p>
    <w:p w14:paraId="35FD1FB3" w14:textId="4C8186FE" w:rsidR="002F1680" w:rsidRDefault="00C17B89" w:rsidP="00C17B89">
      <w:pPr>
        <w:spacing w:after="0" w:line="240" w:lineRule="auto"/>
        <w:jc w:val="center"/>
        <w:rPr>
          <w:b/>
          <w:sz w:val="28"/>
        </w:rPr>
      </w:pPr>
      <w:r>
        <w:rPr>
          <w:b/>
          <w:sz w:val="28"/>
        </w:rPr>
        <w:t xml:space="preserve">New Jersey </w:t>
      </w:r>
      <w:r w:rsidR="002F1680">
        <w:rPr>
          <w:b/>
          <w:sz w:val="28"/>
        </w:rPr>
        <w:t xml:space="preserve">Code of Criminal Justice – </w:t>
      </w:r>
    </w:p>
    <w:p w14:paraId="491FF7EB" w14:textId="07FE4A4F" w:rsidR="00C17B89" w:rsidRPr="00990737" w:rsidRDefault="00C17B89" w:rsidP="00C17B89">
      <w:pPr>
        <w:spacing w:after="0" w:line="240" w:lineRule="auto"/>
        <w:jc w:val="center"/>
        <w:rPr>
          <w:b/>
          <w:sz w:val="28"/>
        </w:rPr>
      </w:pPr>
      <w:r>
        <w:rPr>
          <w:b/>
          <w:sz w:val="28"/>
        </w:rPr>
        <w:t xml:space="preserve">N.J.S. </w:t>
      </w:r>
      <w:r w:rsidR="002F1680">
        <w:rPr>
          <w:b/>
          <w:sz w:val="28"/>
        </w:rPr>
        <w:t>2C</w:t>
      </w:r>
      <w:r>
        <w:rPr>
          <w:b/>
          <w:sz w:val="28"/>
        </w:rPr>
        <w:t>:</w:t>
      </w:r>
      <w:r w:rsidR="00E42365">
        <w:rPr>
          <w:b/>
          <w:sz w:val="28"/>
        </w:rPr>
        <w:t>33</w:t>
      </w:r>
      <w:r>
        <w:rPr>
          <w:b/>
          <w:sz w:val="28"/>
        </w:rPr>
        <w:t>-</w:t>
      </w:r>
      <w:r w:rsidR="00E42365">
        <w:rPr>
          <w:b/>
          <w:sz w:val="28"/>
        </w:rPr>
        <w:t>2</w:t>
      </w:r>
      <w:r>
        <w:rPr>
          <w:b/>
          <w:sz w:val="28"/>
        </w:rPr>
        <w:t xml:space="preserve"> et seq.</w:t>
      </w:r>
    </w:p>
    <w:p w14:paraId="5BB01DDF" w14:textId="77777777" w:rsidR="00C17B89" w:rsidRPr="00990737" w:rsidRDefault="00C17B89" w:rsidP="00C17B89">
      <w:pPr>
        <w:spacing w:after="0" w:line="240" w:lineRule="auto"/>
        <w:jc w:val="center"/>
        <w:rPr>
          <w:b/>
          <w:sz w:val="28"/>
        </w:rPr>
      </w:pPr>
    </w:p>
    <w:p w14:paraId="0E76E964" w14:textId="5CB6D44E" w:rsidR="00C17B89" w:rsidRDefault="008D720D" w:rsidP="00C17B89">
      <w:pPr>
        <w:spacing w:after="0" w:line="240" w:lineRule="auto"/>
        <w:jc w:val="center"/>
        <w:rPr>
          <w:b/>
          <w:sz w:val="28"/>
        </w:rPr>
      </w:pPr>
      <w:r>
        <w:rPr>
          <w:b/>
          <w:sz w:val="28"/>
        </w:rPr>
        <w:t>May 06</w:t>
      </w:r>
      <w:r w:rsidR="00C17B89">
        <w:rPr>
          <w:b/>
          <w:sz w:val="28"/>
        </w:rPr>
        <w:t>, 2018</w:t>
      </w:r>
    </w:p>
    <w:p w14:paraId="02E45662" w14:textId="77777777" w:rsidR="00C17B89" w:rsidRDefault="00C17B89" w:rsidP="00C17B89">
      <w:pPr>
        <w:spacing w:after="0" w:line="240" w:lineRule="auto"/>
        <w:jc w:val="center"/>
        <w:rPr>
          <w:b/>
          <w:sz w:val="28"/>
        </w:rPr>
      </w:pPr>
    </w:p>
    <w:p w14:paraId="0CD291CC" w14:textId="77777777" w:rsidR="00C17B89" w:rsidRPr="004F4609" w:rsidRDefault="00C17B89" w:rsidP="00C17B89">
      <w:pPr>
        <w:spacing w:after="0" w:line="240" w:lineRule="auto"/>
        <w:ind w:firstLine="720"/>
        <w:jc w:val="both"/>
      </w:pPr>
      <w:r w:rsidRPr="004F4609">
        <w:t>The New Jersey Law Revision Commission is required to “[c]</w:t>
      </w:r>
      <w:proofErr w:type="spellStart"/>
      <w:r w:rsidRPr="004F4609">
        <w:t>onduct</w:t>
      </w:r>
      <w:proofErr w:type="spellEnd"/>
      <w:r w:rsidRPr="004F4609">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sidRPr="004F4609">
        <w:rPr>
          <w:i/>
        </w:rPr>
        <w:t>N.J.S.</w:t>
      </w:r>
      <w:r w:rsidRPr="004F4609">
        <w:t xml:space="preserve"> 1:12A-8.</w:t>
      </w:r>
    </w:p>
    <w:p w14:paraId="052FE854" w14:textId="77777777" w:rsidR="00C17B89" w:rsidRDefault="00C17B89" w:rsidP="00C17B89">
      <w:pPr>
        <w:tabs>
          <w:tab w:val="left" w:pos="3540"/>
        </w:tabs>
        <w:spacing w:after="0" w:line="240" w:lineRule="auto"/>
        <w:jc w:val="both"/>
      </w:pPr>
      <w:r>
        <w:tab/>
      </w:r>
    </w:p>
    <w:p w14:paraId="19F07EE1" w14:textId="71B98D97" w:rsidR="00C17B89" w:rsidRPr="004F4609" w:rsidRDefault="00C17B89" w:rsidP="00C17B89">
      <w:pPr>
        <w:spacing w:after="0" w:line="240" w:lineRule="auto"/>
        <w:ind w:firstLine="720"/>
        <w:jc w:val="both"/>
      </w:pPr>
      <w:r w:rsidRPr="004F4609">
        <w:t>This Report is distributed to advise interested persons of the Commission's tentative recommendations and to notify them of the opportunity to submit comments. Comments should be received by the Commission no later than</w:t>
      </w:r>
      <w:r w:rsidR="008D720D">
        <w:t xml:space="preserve"> </w:t>
      </w:r>
      <w:r w:rsidR="008D720D" w:rsidRPr="008D720D">
        <w:rPr>
          <w:b/>
        </w:rPr>
        <w:t>July 08</w:t>
      </w:r>
      <w:r w:rsidR="009741D1">
        <w:rPr>
          <w:b/>
        </w:rPr>
        <w:t>, 2019</w:t>
      </w:r>
      <w:r w:rsidRPr="004F4609">
        <w:t>.</w:t>
      </w:r>
    </w:p>
    <w:p w14:paraId="3A4033F1" w14:textId="77777777" w:rsidR="00C17B89" w:rsidRDefault="00C17B89" w:rsidP="00C17B89">
      <w:pPr>
        <w:spacing w:after="0" w:line="240" w:lineRule="auto"/>
        <w:jc w:val="both"/>
      </w:pPr>
    </w:p>
    <w:p w14:paraId="4C156BF5" w14:textId="77777777" w:rsidR="00C17B89" w:rsidRPr="004F4609" w:rsidRDefault="00C17B89" w:rsidP="00C17B89">
      <w:pPr>
        <w:spacing w:after="0" w:line="240" w:lineRule="auto"/>
        <w:ind w:firstLine="720"/>
        <w:jc w:val="both"/>
      </w:pPr>
      <w:r w:rsidRPr="004F4609">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14:paraId="6CDB73D0" w14:textId="77777777" w:rsidR="00C17B89" w:rsidRDefault="00C17B89" w:rsidP="00C17B89">
      <w:pPr>
        <w:spacing w:after="0" w:line="240" w:lineRule="auto"/>
        <w:jc w:val="center"/>
      </w:pPr>
    </w:p>
    <w:p w14:paraId="39E61FF0" w14:textId="5EFE2E28" w:rsidR="002F1680" w:rsidRDefault="002F1680" w:rsidP="00C17B89">
      <w:pPr>
        <w:spacing w:after="0" w:line="240" w:lineRule="exact"/>
        <w:jc w:val="center"/>
      </w:pPr>
      <w:r>
        <w:t xml:space="preserve">John M. Cannel, </w:t>
      </w:r>
      <w:r w:rsidR="004C69DC">
        <w:t xml:space="preserve">Retired, </w:t>
      </w:r>
      <w:r>
        <w:t>Revis</w:t>
      </w:r>
      <w:r w:rsidR="00D821DF">
        <w:t>e</w:t>
      </w:r>
      <w:r>
        <w:t>r of Statutes</w:t>
      </w:r>
    </w:p>
    <w:p w14:paraId="39F6DC49" w14:textId="4ED94D58" w:rsidR="00C17B89" w:rsidRPr="004F4609" w:rsidRDefault="00C17B89" w:rsidP="00C17B89">
      <w:pPr>
        <w:spacing w:after="0" w:line="240" w:lineRule="exact"/>
        <w:jc w:val="center"/>
      </w:pPr>
      <w:r>
        <w:t xml:space="preserve">Samuel M. Silver, </w:t>
      </w:r>
      <w:r w:rsidR="00263824">
        <w:t>Deputy Director</w:t>
      </w:r>
    </w:p>
    <w:p w14:paraId="4E6DC1BF" w14:textId="77777777" w:rsidR="00C17B89" w:rsidRPr="004F4609" w:rsidRDefault="00C17B89" w:rsidP="00C17B89">
      <w:pPr>
        <w:spacing w:after="0" w:line="240" w:lineRule="exact"/>
        <w:jc w:val="center"/>
      </w:pPr>
      <w:r w:rsidRPr="004F4609">
        <w:t>New Jersey Law Revision Commission</w:t>
      </w:r>
    </w:p>
    <w:p w14:paraId="63AEA56F" w14:textId="77777777" w:rsidR="00C17B89" w:rsidRPr="004F4609" w:rsidRDefault="00C17B89" w:rsidP="00C17B89">
      <w:pPr>
        <w:spacing w:after="0" w:line="240" w:lineRule="exact"/>
        <w:jc w:val="center"/>
      </w:pPr>
      <w:r w:rsidRPr="004F4609">
        <w:t>153 Halsey Street, 7th Fl., Box 47016</w:t>
      </w:r>
    </w:p>
    <w:p w14:paraId="3E0D867D" w14:textId="77777777" w:rsidR="00C17B89" w:rsidRPr="004F4609" w:rsidRDefault="00C17B89" w:rsidP="00C17B89">
      <w:pPr>
        <w:spacing w:after="0" w:line="240" w:lineRule="exact"/>
        <w:jc w:val="center"/>
      </w:pPr>
      <w:r w:rsidRPr="004F4609">
        <w:t>Newark, New Jersey 07102</w:t>
      </w:r>
    </w:p>
    <w:p w14:paraId="27ED4A38" w14:textId="77777777" w:rsidR="00C17B89" w:rsidRPr="004F4609" w:rsidRDefault="00C17B89" w:rsidP="00C17B89">
      <w:pPr>
        <w:spacing w:after="0" w:line="240" w:lineRule="exact"/>
        <w:jc w:val="center"/>
      </w:pPr>
      <w:r w:rsidRPr="004F4609">
        <w:t>973-648-4575</w:t>
      </w:r>
    </w:p>
    <w:p w14:paraId="554513E5" w14:textId="77777777" w:rsidR="00C17B89" w:rsidRPr="004F4609" w:rsidRDefault="00C17B89" w:rsidP="00C17B89">
      <w:pPr>
        <w:spacing w:after="0" w:line="240" w:lineRule="exact"/>
        <w:jc w:val="center"/>
      </w:pPr>
      <w:r w:rsidRPr="004F4609">
        <w:t>(Fax) 973-648-3123</w:t>
      </w:r>
    </w:p>
    <w:p w14:paraId="561911F4" w14:textId="77777777" w:rsidR="00C17B89" w:rsidRPr="004F4609" w:rsidRDefault="00C17B89" w:rsidP="00C17B89">
      <w:pPr>
        <w:spacing w:after="0" w:line="240" w:lineRule="exact"/>
        <w:jc w:val="center"/>
      </w:pPr>
      <w:r w:rsidRPr="004F4609">
        <w:t xml:space="preserve">Email: </w:t>
      </w:r>
      <w:r>
        <w:t>sms</w:t>
      </w:r>
      <w:r w:rsidRPr="004F4609">
        <w:t>@njlrc.org</w:t>
      </w:r>
    </w:p>
    <w:p w14:paraId="532D36E7" w14:textId="0D8BC12E" w:rsidR="005511B2" w:rsidRDefault="00C17B89" w:rsidP="00C17B89">
      <w:pPr>
        <w:jc w:val="center"/>
      </w:pPr>
      <w:r w:rsidRPr="004F4609">
        <w:t xml:space="preserve">Web site:  </w:t>
      </w:r>
      <w:hyperlink r:id="rId9" w:history="1">
        <w:r w:rsidRPr="00D835FF">
          <w:rPr>
            <w:rStyle w:val="Hyperlink"/>
          </w:rPr>
          <w:t>http://www.njlrc.org</w:t>
        </w:r>
      </w:hyperlink>
    </w:p>
    <w:p w14:paraId="349E8780" w14:textId="77777777" w:rsidR="002F1680" w:rsidRDefault="002F1680" w:rsidP="002F1680">
      <w:pPr>
        <w:spacing w:after="0" w:line="240" w:lineRule="auto"/>
        <w:jc w:val="center"/>
      </w:pPr>
      <w:r w:rsidRPr="002F1680">
        <w:lastRenderedPageBreak/>
        <w:t xml:space="preserve">“How all my brain was in tumult, and all my heart in insurrection! </w:t>
      </w:r>
    </w:p>
    <w:p w14:paraId="4A25EC89" w14:textId="40C116A3" w:rsidR="002F1680" w:rsidRPr="002F1680" w:rsidRDefault="002F1680" w:rsidP="002F1680">
      <w:pPr>
        <w:spacing w:after="0" w:line="240" w:lineRule="auto"/>
        <w:jc w:val="center"/>
      </w:pPr>
      <w:r w:rsidRPr="002F1680">
        <w:t xml:space="preserve">Yet in what darkness, what dense ignorance, was the mental battle fought!” </w:t>
      </w:r>
    </w:p>
    <w:p w14:paraId="45190987" w14:textId="2BF01691" w:rsidR="002F1680" w:rsidRDefault="002F1680" w:rsidP="002F1680">
      <w:pPr>
        <w:spacing w:after="0" w:line="240" w:lineRule="auto"/>
        <w:jc w:val="center"/>
      </w:pPr>
      <w:r w:rsidRPr="002F1680">
        <w:t>― Charlotte Brontë, Jane Eyre</w:t>
      </w:r>
    </w:p>
    <w:p w14:paraId="42EC1AD4" w14:textId="77777777" w:rsidR="00725E97" w:rsidRPr="002F1680" w:rsidRDefault="00725E97" w:rsidP="002F1680">
      <w:pPr>
        <w:spacing w:after="0" w:line="240" w:lineRule="auto"/>
        <w:jc w:val="center"/>
      </w:pPr>
    </w:p>
    <w:p w14:paraId="08A01815" w14:textId="6C8F5516" w:rsidR="003B6319" w:rsidRPr="00237C34" w:rsidRDefault="00237C34" w:rsidP="00AB37F3">
      <w:pPr>
        <w:jc w:val="center"/>
        <w:rPr>
          <w:b/>
        </w:rPr>
      </w:pPr>
      <w:r>
        <w:rPr>
          <w:b/>
        </w:rPr>
        <w:t>Executive Summary</w:t>
      </w:r>
    </w:p>
    <w:p w14:paraId="36BFF3E4" w14:textId="08CAC05A" w:rsidR="00DB01FF" w:rsidRDefault="00DB01FF" w:rsidP="00DB01FF">
      <w:pPr>
        <w:ind w:firstLine="720"/>
        <w:jc w:val="both"/>
        <w:rPr>
          <w:rFonts w:cs="Times New Roman"/>
          <w:szCs w:val="24"/>
        </w:rPr>
      </w:pPr>
      <w:r>
        <w:rPr>
          <w:rFonts w:cs="Times New Roman"/>
          <w:szCs w:val="24"/>
        </w:rPr>
        <w:t xml:space="preserve">In </w:t>
      </w:r>
      <w:r>
        <w:rPr>
          <w:rFonts w:cs="Times New Roman"/>
          <w:i/>
          <w:szCs w:val="24"/>
        </w:rPr>
        <w:t>State v. Finnemen</w:t>
      </w:r>
      <w:r>
        <w:rPr>
          <w:rFonts w:cs="Times New Roman"/>
          <w:szCs w:val="24"/>
        </w:rPr>
        <w:t>,</w:t>
      </w:r>
      <w:r>
        <w:rPr>
          <w:rStyle w:val="FootnoteReference"/>
          <w:szCs w:val="24"/>
        </w:rPr>
        <w:footnoteReference w:id="1"/>
      </w:r>
      <w:r>
        <w:rPr>
          <w:rFonts w:cs="Times New Roman"/>
          <w:i/>
          <w:szCs w:val="24"/>
        </w:rPr>
        <w:t xml:space="preserve"> </w:t>
      </w:r>
      <w:r>
        <w:rPr>
          <w:rFonts w:cs="Times New Roman"/>
          <w:szCs w:val="24"/>
        </w:rPr>
        <w:t xml:space="preserve">the Appellate Division considered whether </w:t>
      </w:r>
      <w:r w:rsidR="002A60F5">
        <w:rPr>
          <w:rFonts w:cs="Times New Roman"/>
          <w:szCs w:val="24"/>
        </w:rPr>
        <w:t xml:space="preserve">the </w:t>
      </w:r>
      <w:r>
        <w:rPr>
          <w:rFonts w:cs="Times New Roman"/>
          <w:szCs w:val="24"/>
        </w:rPr>
        <w:t>defendant engaged in “tumultuous” behavior as required for a conviction under N.J.S. 2C:33-2(a)(1), as well as whether the definition of “public” as described in N.J.S. 2C:33-2(b) also applie</w:t>
      </w:r>
      <w:r w:rsidR="002A60F5">
        <w:rPr>
          <w:rFonts w:cs="Times New Roman"/>
          <w:szCs w:val="24"/>
        </w:rPr>
        <w:t>d</w:t>
      </w:r>
      <w:r>
        <w:rPr>
          <w:rFonts w:cs="Times New Roman"/>
          <w:szCs w:val="24"/>
        </w:rPr>
        <w:t xml:space="preserve"> to the word “public” as it appears in N.J.S. 2C:33-2(a).</w:t>
      </w:r>
    </w:p>
    <w:p w14:paraId="724C5AB1" w14:textId="54ABD771" w:rsidR="00DB01FF" w:rsidRDefault="00DB01FF" w:rsidP="00DB01FF">
      <w:pPr>
        <w:ind w:firstLine="720"/>
        <w:jc w:val="both"/>
        <w:rPr>
          <w:rFonts w:cs="Times New Roman"/>
          <w:szCs w:val="24"/>
        </w:rPr>
      </w:pPr>
      <w:r>
        <w:rPr>
          <w:rFonts w:cs="Times New Roman"/>
          <w:szCs w:val="24"/>
        </w:rPr>
        <w:t xml:space="preserve">In this unpublished opinion, the Appellate Division </w:t>
      </w:r>
      <w:r w:rsidR="00E521AE">
        <w:rPr>
          <w:rFonts w:cs="Times New Roman"/>
          <w:szCs w:val="24"/>
        </w:rPr>
        <w:t>found the defendant’s behavior to be tumultuous.</w:t>
      </w:r>
      <w:r w:rsidR="00E521AE">
        <w:rPr>
          <w:rStyle w:val="FootnoteReference"/>
          <w:rFonts w:cs="Times New Roman"/>
          <w:szCs w:val="24"/>
        </w:rPr>
        <w:footnoteReference w:id="2"/>
      </w:r>
      <w:r w:rsidR="00E521AE">
        <w:rPr>
          <w:rFonts w:cs="Times New Roman"/>
          <w:szCs w:val="24"/>
        </w:rPr>
        <w:t xml:space="preserve"> The court reasoned that the “defendant’s conduct caused public inconvenience, annoyance or alarm and constituted overwhelming turbulence or upheaval … and a violent agitation of mind and feelings.”</w:t>
      </w:r>
      <w:r w:rsidR="00E521AE">
        <w:rPr>
          <w:rStyle w:val="FootnoteReference"/>
          <w:rFonts w:cs="Times New Roman"/>
          <w:szCs w:val="24"/>
        </w:rPr>
        <w:footnoteReference w:id="3"/>
      </w:r>
      <w:r w:rsidR="00E521AE">
        <w:rPr>
          <w:rFonts w:cs="Times New Roman"/>
          <w:szCs w:val="24"/>
        </w:rPr>
        <w:t xml:space="preserve"> </w:t>
      </w:r>
      <w:r w:rsidR="009E64DB">
        <w:rPr>
          <w:rFonts w:cs="Times New Roman"/>
          <w:szCs w:val="24"/>
        </w:rPr>
        <w:t xml:space="preserve">The Court went on to find that </w:t>
      </w:r>
      <w:r>
        <w:rPr>
          <w:rFonts w:cs="Times New Roman"/>
          <w:szCs w:val="24"/>
        </w:rPr>
        <w:t xml:space="preserve">“for the present purposes,” </w:t>
      </w:r>
      <w:r w:rsidR="009E64DB">
        <w:rPr>
          <w:rFonts w:cs="Times New Roman"/>
          <w:szCs w:val="24"/>
        </w:rPr>
        <w:t xml:space="preserve">the word </w:t>
      </w:r>
      <w:r>
        <w:rPr>
          <w:rFonts w:cs="Times New Roman"/>
          <w:szCs w:val="24"/>
        </w:rPr>
        <w:t>“public</w:t>
      </w:r>
      <w:r w:rsidR="009E64DB">
        <w:rPr>
          <w:rFonts w:cs="Times New Roman"/>
          <w:szCs w:val="24"/>
        </w:rPr>
        <w:t>,</w:t>
      </w:r>
      <w:r>
        <w:rPr>
          <w:rFonts w:cs="Times New Roman"/>
          <w:szCs w:val="24"/>
        </w:rPr>
        <w:t>” as defined in N.J.S. 2C:33-2(b)</w:t>
      </w:r>
      <w:r w:rsidR="009E64DB">
        <w:rPr>
          <w:rFonts w:cs="Times New Roman"/>
          <w:szCs w:val="24"/>
        </w:rPr>
        <w:t>,</w:t>
      </w:r>
      <w:r>
        <w:rPr>
          <w:rFonts w:cs="Times New Roman"/>
          <w:szCs w:val="24"/>
        </w:rPr>
        <w:t xml:space="preserve"> applied to </w:t>
      </w:r>
      <w:r w:rsidR="009E64DB">
        <w:rPr>
          <w:rFonts w:cs="Times New Roman"/>
          <w:szCs w:val="24"/>
        </w:rPr>
        <w:t xml:space="preserve">subsection a. of </w:t>
      </w:r>
      <w:r>
        <w:rPr>
          <w:rFonts w:cs="Times New Roman"/>
          <w:szCs w:val="24"/>
        </w:rPr>
        <w:t>N.J.S. 2C:33-2(a).</w:t>
      </w:r>
      <w:r>
        <w:rPr>
          <w:rStyle w:val="FootnoteReference"/>
          <w:szCs w:val="24"/>
        </w:rPr>
        <w:footnoteReference w:id="4"/>
      </w:r>
    </w:p>
    <w:p w14:paraId="1793CC52" w14:textId="77777777" w:rsidR="00DB01FF" w:rsidRPr="00431C2A" w:rsidRDefault="00DB01FF" w:rsidP="00DB01FF">
      <w:pPr>
        <w:jc w:val="center"/>
        <w:rPr>
          <w:rFonts w:cs="Times New Roman"/>
          <w:b/>
          <w:szCs w:val="24"/>
        </w:rPr>
      </w:pPr>
      <w:r w:rsidRPr="00431C2A">
        <w:rPr>
          <w:rFonts w:cs="Times New Roman"/>
          <w:b/>
          <w:szCs w:val="24"/>
        </w:rPr>
        <w:t>Background</w:t>
      </w:r>
    </w:p>
    <w:p w14:paraId="00963264" w14:textId="00B8D236" w:rsidR="00DB01FF" w:rsidRDefault="001516D1" w:rsidP="00DB01FF">
      <w:pPr>
        <w:ind w:firstLine="720"/>
        <w:jc w:val="both"/>
        <w:rPr>
          <w:rFonts w:cs="Times New Roman"/>
          <w:szCs w:val="24"/>
        </w:rPr>
      </w:pPr>
      <w:r>
        <w:rPr>
          <w:rFonts w:cs="Times New Roman"/>
          <w:szCs w:val="24"/>
        </w:rPr>
        <w:t xml:space="preserve">In </w:t>
      </w:r>
      <w:r>
        <w:rPr>
          <w:rFonts w:cs="Times New Roman"/>
          <w:i/>
          <w:szCs w:val="24"/>
        </w:rPr>
        <w:t>State v. Finnemen</w:t>
      </w:r>
      <w:r>
        <w:rPr>
          <w:rFonts w:cs="Times New Roman"/>
          <w:szCs w:val="24"/>
        </w:rPr>
        <w:t>, t</w:t>
      </w:r>
      <w:r w:rsidR="00DB01FF">
        <w:rPr>
          <w:rFonts w:cs="Times New Roman"/>
          <w:szCs w:val="24"/>
        </w:rPr>
        <w:t xml:space="preserve">he </w:t>
      </w:r>
      <w:r w:rsidR="00E3126E">
        <w:rPr>
          <w:rFonts w:cs="Times New Roman"/>
          <w:szCs w:val="24"/>
        </w:rPr>
        <w:t>d</w:t>
      </w:r>
      <w:r w:rsidR="00DB01FF">
        <w:rPr>
          <w:rFonts w:cs="Times New Roman"/>
          <w:szCs w:val="24"/>
        </w:rPr>
        <w:t xml:space="preserve">efendant created a disturbance inside a Walgreens, </w:t>
      </w:r>
      <w:r w:rsidR="009E64DB">
        <w:rPr>
          <w:rFonts w:cs="Times New Roman"/>
          <w:szCs w:val="24"/>
        </w:rPr>
        <w:t xml:space="preserve">then </w:t>
      </w:r>
      <w:r w:rsidR="00DB01FF">
        <w:rPr>
          <w:rFonts w:cs="Times New Roman"/>
          <w:szCs w:val="24"/>
        </w:rPr>
        <w:t xml:space="preserve">continued to yell obscenities and make obscene hand gestures toward Walgreens employees </w:t>
      </w:r>
      <w:r w:rsidR="005D5665">
        <w:rPr>
          <w:rFonts w:cs="Times New Roman"/>
          <w:szCs w:val="24"/>
        </w:rPr>
        <w:t xml:space="preserve">even </w:t>
      </w:r>
      <w:r w:rsidR="00DB01FF">
        <w:rPr>
          <w:rFonts w:cs="Times New Roman"/>
          <w:szCs w:val="24"/>
        </w:rPr>
        <w:t>after being asked to leave the store.</w:t>
      </w:r>
      <w:r w:rsidR="009E64DB">
        <w:rPr>
          <w:rStyle w:val="FootnoteReference"/>
          <w:rFonts w:cs="Times New Roman"/>
          <w:szCs w:val="24"/>
        </w:rPr>
        <w:footnoteReference w:id="5"/>
      </w:r>
      <w:r w:rsidR="00DB01FF">
        <w:rPr>
          <w:rFonts w:cs="Times New Roman"/>
          <w:szCs w:val="24"/>
        </w:rPr>
        <w:t xml:space="preserve"> </w:t>
      </w:r>
      <w:r w:rsidR="00A87ADF">
        <w:rPr>
          <w:rFonts w:cs="Times New Roman"/>
          <w:szCs w:val="24"/>
        </w:rPr>
        <w:t>T</w:t>
      </w:r>
      <w:r w:rsidR="00260BD0">
        <w:rPr>
          <w:rFonts w:cs="Times New Roman"/>
          <w:szCs w:val="24"/>
        </w:rPr>
        <w:t xml:space="preserve">he </w:t>
      </w:r>
      <w:r w:rsidR="00DB01FF">
        <w:rPr>
          <w:rFonts w:cs="Times New Roman"/>
          <w:szCs w:val="24"/>
        </w:rPr>
        <w:t xml:space="preserve">responding police officers </w:t>
      </w:r>
      <w:r w:rsidR="00A87ADF">
        <w:rPr>
          <w:rFonts w:cs="Times New Roman"/>
          <w:szCs w:val="24"/>
        </w:rPr>
        <w:t xml:space="preserve">subsequently </w:t>
      </w:r>
      <w:r w:rsidR="00260BD0">
        <w:rPr>
          <w:rFonts w:cs="Times New Roman"/>
          <w:szCs w:val="24"/>
        </w:rPr>
        <w:t xml:space="preserve">observed the defendant </w:t>
      </w:r>
      <w:r w:rsidR="00A87ADF">
        <w:rPr>
          <w:rFonts w:cs="Times New Roman"/>
          <w:szCs w:val="24"/>
        </w:rPr>
        <w:t xml:space="preserve">at a bus stop </w:t>
      </w:r>
      <w:r w:rsidR="00260BD0">
        <w:rPr>
          <w:rFonts w:cs="Times New Roman"/>
          <w:szCs w:val="24"/>
        </w:rPr>
        <w:t>directly across the street from the store</w:t>
      </w:r>
      <w:r w:rsidR="00A87ADF">
        <w:rPr>
          <w:rFonts w:cs="Times New Roman"/>
          <w:szCs w:val="24"/>
        </w:rPr>
        <w:t>.</w:t>
      </w:r>
      <w:r w:rsidR="00A87ADF">
        <w:rPr>
          <w:rStyle w:val="FootnoteReference"/>
          <w:rFonts w:cs="Times New Roman"/>
          <w:szCs w:val="24"/>
        </w:rPr>
        <w:footnoteReference w:id="6"/>
      </w:r>
      <w:r w:rsidR="00260BD0">
        <w:rPr>
          <w:rFonts w:cs="Times New Roman"/>
          <w:szCs w:val="24"/>
        </w:rPr>
        <w:t xml:space="preserve"> </w:t>
      </w:r>
      <w:r w:rsidR="00A87ADF">
        <w:rPr>
          <w:rFonts w:cs="Times New Roman"/>
          <w:szCs w:val="24"/>
        </w:rPr>
        <w:t>These officers</w:t>
      </w:r>
      <w:r w:rsidR="00260BD0">
        <w:rPr>
          <w:rFonts w:cs="Times New Roman"/>
          <w:szCs w:val="24"/>
        </w:rPr>
        <w:t xml:space="preserve"> described </w:t>
      </w:r>
      <w:r w:rsidR="00A87ADF">
        <w:rPr>
          <w:rFonts w:cs="Times New Roman"/>
          <w:szCs w:val="24"/>
        </w:rPr>
        <w:t>the defendant’s</w:t>
      </w:r>
      <w:r w:rsidR="00260BD0">
        <w:rPr>
          <w:rFonts w:cs="Times New Roman"/>
          <w:szCs w:val="24"/>
        </w:rPr>
        <w:t xml:space="preserve"> affect as </w:t>
      </w:r>
      <w:r w:rsidR="00DB01FF">
        <w:rPr>
          <w:rFonts w:cs="Times New Roman"/>
          <w:szCs w:val="24"/>
        </w:rPr>
        <w:t>“irate</w:t>
      </w:r>
      <w:r w:rsidR="00260BD0">
        <w:rPr>
          <w:rFonts w:cs="Times New Roman"/>
          <w:szCs w:val="24"/>
        </w:rPr>
        <w:t>”</w:t>
      </w:r>
      <w:r w:rsidR="00DB01FF">
        <w:rPr>
          <w:rFonts w:cs="Times New Roman"/>
          <w:szCs w:val="24"/>
        </w:rPr>
        <w:t xml:space="preserve"> and </w:t>
      </w:r>
      <w:r w:rsidR="00A87ADF">
        <w:rPr>
          <w:rFonts w:cs="Times New Roman"/>
          <w:szCs w:val="24"/>
        </w:rPr>
        <w:t xml:space="preserve">noted that at the time, </w:t>
      </w:r>
      <w:r w:rsidR="00260BD0">
        <w:rPr>
          <w:rFonts w:cs="Times New Roman"/>
          <w:szCs w:val="24"/>
        </w:rPr>
        <w:t xml:space="preserve">he was </w:t>
      </w:r>
      <w:r w:rsidR="00DB01FF">
        <w:rPr>
          <w:rFonts w:cs="Times New Roman"/>
          <w:szCs w:val="24"/>
        </w:rPr>
        <w:t>angrily gesturing with his hands</w:t>
      </w:r>
      <w:r w:rsidR="00260BD0">
        <w:rPr>
          <w:rFonts w:cs="Times New Roman"/>
          <w:szCs w:val="24"/>
        </w:rPr>
        <w:t>.</w:t>
      </w:r>
      <w:r w:rsidR="00DB01FF">
        <w:rPr>
          <w:rFonts w:cs="Times New Roman"/>
          <w:szCs w:val="24"/>
        </w:rPr>
        <w:t>”</w:t>
      </w:r>
      <w:r w:rsidR="00260BD0">
        <w:rPr>
          <w:rStyle w:val="FootnoteReference"/>
          <w:rFonts w:cs="Times New Roman"/>
          <w:szCs w:val="24"/>
        </w:rPr>
        <w:footnoteReference w:id="7"/>
      </w:r>
      <w:r w:rsidR="00DB01FF">
        <w:rPr>
          <w:rFonts w:cs="Times New Roman"/>
          <w:szCs w:val="24"/>
        </w:rPr>
        <w:t xml:space="preserve"> </w:t>
      </w:r>
      <w:r w:rsidR="00A842C5">
        <w:rPr>
          <w:rFonts w:cs="Times New Roman"/>
          <w:szCs w:val="24"/>
        </w:rPr>
        <w:t>A</w:t>
      </w:r>
      <w:r w:rsidR="00DB01FF">
        <w:rPr>
          <w:rFonts w:cs="Times New Roman"/>
          <w:szCs w:val="24"/>
        </w:rPr>
        <w:t xml:space="preserve">fter </w:t>
      </w:r>
      <w:r w:rsidR="00A842C5">
        <w:rPr>
          <w:rFonts w:cs="Times New Roman"/>
          <w:szCs w:val="24"/>
        </w:rPr>
        <w:t>being asked to leave the area, the d</w:t>
      </w:r>
      <w:r w:rsidR="00A87ADF">
        <w:rPr>
          <w:rFonts w:cs="Times New Roman"/>
          <w:szCs w:val="24"/>
        </w:rPr>
        <w:t>efendant proceeded in the direction of another bus stop.</w:t>
      </w:r>
      <w:r w:rsidR="00A87ADF">
        <w:rPr>
          <w:rStyle w:val="FootnoteReference"/>
          <w:rFonts w:cs="Times New Roman"/>
          <w:szCs w:val="24"/>
        </w:rPr>
        <w:footnoteReference w:id="8"/>
      </w:r>
      <w:r w:rsidR="00A87ADF">
        <w:rPr>
          <w:rFonts w:cs="Times New Roman"/>
          <w:szCs w:val="24"/>
        </w:rPr>
        <w:t xml:space="preserve"> In a final confrontation with the responding officers the defendant “continued to yell and cause a scene” and </w:t>
      </w:r>
      <w:r w:rsidR="00A842C5">
        <w:rPr>
          <w:rFonts w:cs="Times New Roman"/>
          <w:szCs w:val="24"/>
        </w:rPr>
        <w:t xml:space="preserve">entered </w:t>
      </w:r>
      <w:r w:rsidR="00DB01FF">
        <w:rPr>
          <w:rFonts w:cs="Times New Roman"/>
          <w:szCs w:val="24"/>
        </w:rPr>
        <w:t xml:space="preserve">a nail salon after being told </w:t>
      </w:r>
      <w:r w:rsidR="00A87ADF">
        <w:rPr>
          <w:rFonts w:cs="Times New Roman"/>
          <w:szCs w:val="24"/>
        </w:rPr>
        <w:t xml:space="preserve">by the officers </w:t>
      </w:r>
      <w:r w:rsidR="00DB01FF">
        <w:rPr>
          <w:rFonts w:cs="Times New Roman"/>
          <w:szCs w:val="24"/>
        </w:rPr>
        <w:t xml:space="preserve">not to </w:t>
      </w:r>
      <w:r w:rsidR="00A87ADF">
        <w:rPr>
          <w:rFonts w:cs="Times New Roman"/>
          <w:szCs w:val="24"/>
        </w:rPr>
        <w:t>so.</w:t>
      </w:r>
      <w:r w:rsidR="00A87ADF">
        <w:rPr>
          <w:rStyle w:val="FootnoteReference"/>
          <w:rFonts w:cs="Times New Roman"/>
          <w:szCs w:val="24"/>
        </w:rPr>
        <w:footnoteReference w:id="9"/>
      </w:r>
    </w:p>
    <w:p w14:paraId="389273EC" w14:textId="40C4C82B" w:rsidR="00DB01FF" w:rsidRDefault="00DB01FF" w:rsidP="00DB01FF">
      <w:pPr>
        <w:ind w:firstLine="720"/>
        <w:jc w:val="both"/>
        <w:rPr>
          <w:rFonts w:cs="Times New Roman"/>
          <w:szCs w:val="24"/>
        </w:rPr>
      </w:pPr>
      <w:r>
        <w:rPr>
          <w:rFonts w:cs="Times New Roman"/>
          <w:szCs w:val="24"/>
        </w:rPr>
        <w:t xml:space="preserve">After being </w:t>
      </w:r>
      <w:r w:rsidR="00A842C5">
        <w:rPr>
          <w:rFonts w:cs="Times New Roman"/>
          <w:szCs w:val="24"/>
        </w:rPr>
        <w:t xml:space="preserve">found guilty of both </w:t>
      </w:r>
      <w:r>
        <w:rPr>
          <w:rFonts w:cs="Times New Roman"/>
          <w:szCs w:val="24"/>
        </w:rPr>
        <w:t>disorderly conduct</w:t>
      </w:r>
      <w:r w:rsidR="00A842C5">
        <w:rPr>
          <w:rStyle w:val="FootnoteReference"/>
          <w:rFonts w:cs="Times New Roman"/>
          <w:szCs w:val="24"/>
        </w:rPr>
        <w:footnoteReference w:id="10"/>
      </w:r>
      <w:r>
        <w:rPr>
          <w:rFonts w:cs="Times New Roman"/>
          <w:szCs w:val="24"/>
        </w:rPr>
        <w:t xml:space="preserve"> </w:t>
      </w:r>
      <w:r w:rsidR="00A842C5">
        <w:rPr>
          <w:rFonts w:cs="Times New Roman"/>
          <w:szCs w:val="24"/>
        </w:rPr>
        <w:t>and resisting arrest</w:t>
      </w:r>
      <w:r w:rsidR="00A842C5">
        <w:rPr>
          <w:rStyle w:val="FootnoteReference"/>
          <w:rFonts w:cs="Times New Roman"/>
          <w:szCs w:val="24"/>
        </w:rPr>
        <w:footnoteReference w:id="11"/>
      </w:r>
      <w:r w:rsidR="00A842C5">
        <w:rPr>
          <w:rFonts w:cs="Times New Roman"/>
          <w:szCs w:val="24"/>
        </w:rPr>
        <w:t xml:space="preserve"> the defendant appealed his conviction to the Superior Court</w:t>
      </w:r>
      <w:r w:rsidR="006F7909">
        <w:rPr>
          <w:rFonts w:cs="Times New Roman"/>
          <w:szCs w:val="24"/>
        </w:rPr>
        <w:t>, Law Division</w:t>
      </w:r>
      <w:r w:rsidR="00A842C5">
        <w:rPr>
          <w:rFonts w:cs="Times New Roman"/>
          <w:szCs w:val="24"/>
        </w:rPr>
        <w:t>.</w:t>
      </w:r>
      <w:r w:rsidR="00A842C5">
        <w:rPr>
          <w:rStyle w:val="FootnoteReference"/>
          <w:rFonts w:cs="Times New Roman"/>
          <w:szCs w:val="24"/>
        </w:rPr>
        <w:footnoteReference w:id="12"/>
      </w:r>
      <w:r w:rsidR="00A842C5">
        <w:rPr>
          <w:rFonts w:cs="Times New Roman"/>
          <w:szCs w:val="24"/>
        </w:rPr>
        <w:t xml:space="preserve"> </w:t>
      </w:r>
      <w:r w:rsidR="00E3126E">
        <w:rPr>
          <w:rFonts w:cs="Times New Roman"/>
          <w:szCs w:val="24"/>
        </w:rPr>
        <w:t xml:space="preserve">Following his conviction after a trial </w:t>
      </w:r>
      <w:r w:rsidR="00E3126E" w:rsidRPr="00F83DD2">
        <w:rPr>
          <w:rFonts w:cs="Times New Roman"/>
          <w:i/>
          <w:szCs w:val="24"/>
        </w:rPr>
        <w:t>de novo</w:t>
      </w:r>
      <w:r w:rsidR="00E3126E">
        <w:rPr>
          <w:rFonts w:cs="Times New Roman"/>
          <w:szCs w:val="24"/>
        </w:rPr>
        <w:t>, the</w:t>
      </w:r>
      <w:r>
        <w:rPr>
          <w:rFonts w:cs="Times New Roman"/>
          <w:szCs w:val="24"/>
        </w:rPr>
        <w:t xml:space="preserve"> defendant appealed</w:t>
      </w:r>
      <w:r w:rsidR="00E3126E">
        <w:rPr>
          <w:rFonts w:cs="Times New Roman"/>
          <w:szCs w:val="24"/>
        </w:rPr>
        <w:t xml:space="preserve"> to the Superior Court, Appellate Division. The defendant </w:t>
      </w:r>
      <w:r w:rsidR="00E3126E">
        <w:rPr>
          <w:rFonts w:cs="Times New Roman"/>
          <w:szCs w:val="24"/>
        </w:rPr>
        <w:lastRenderedPageBreak/>
        <w:t>contested, among other issues,</w:t>
      </w:r>
      <w:r>
        <w:rPr>
          <w:rFonts w:cs="Times New Roman"/>
          <w:szCs w:val="24"/>
        </w:rPr>
        <w:t xml:space="preserve"> that </w:t>
      </w:r>
      <w:r w:rsidR="00E3126E">
        <w:rPr>
          <w:rFonts w:cs="Times New Roman"/>
          <w:szCs w:val="24"/>
        </w:rPr>
        <w:t xml:space="preserve">his convictions should be reversed because </w:t>
      </w:r>
      <w:r>
        <w:rPr>
          <w:rFonts w:cs="Times New Roman"/>
          <w:szCs w:val="24"/>
        </w:rPr>
        <w:t xml:space="preserve">his behavior did not rise to the level of “tumultuous” </w:t>
      </w:r>
      <w:r w:rsidR="00E3126E">
        <w:rPr>
          <w:rFonts w:cs="Times New Roman"/>
          <w:szCs w:val="24"/>
        </w:rPr>
        <w:t xml:space="preserve">as set forth in </w:t>
      </w:r>
      <w:r>
        <w:rPr>
          <w:rFonts w:cs="Times New Roman"/>
          <w:szCs w:val="24"/>
        </w:rPr>
        <w:t>N.J.S. 2C:33-2(a)(1).</w:t>
      </w:r>
      <w:r>
        <w:rPr>
          <w:rStyle w:val="FootnoteReference"/>
          <w:rFonts w:cs="Times New Roman"/>
          <w:szCs w:val="24"/>
        </w:rPr>
        <w:footnoteReference w:id="13"/>
      </w:r>
    </w:p>
    <w:p w14:paraId="1705956C" w14:textId="3E49A757" w:rsidR="005D5665" w:rsidRDefault="003C6334" w:rsidP="003C6334">
      <w:pPr>
        <w:jc w:val="center"/>
        <w:rPr>
          <w:rFonts w:cs="Times New Roman"/>
          <w:szCs w:val="24"/>
        </w:rPr>
      </w:pPr>
      <w:r>
        <w:rPr>
          <w:rFonts w:cs="Times New Roman"/>
          <w:b/>
          <w:szCs w:val="24"/>
        </w:rPr>
        <w:t>Analysis</w:t>
      </w:r>
    </w:p>
    <w:p w14:paraId="015602DD" w14:textId="5971401D" w:rsidR="003C6334" w:rsidRDefault="003C6334" w:rsidP="003C6334">
      <w:pPr>
        <w:jc w:val="both"/>
        <w:rPr>
          <w:rFonts w:cs="Times New Roman"/>
          <w:szCs w:val="24"/>
        </w:rPr>
      </w:pPr>
      <w:r>
        <w:rPr>
          <w:rFonts w:cs="Times New Roman"/>
          <w:szCs w:val="24"/>
        </w:rPr>
        <w:tab/>
      </w:r>
      <w:r w:rsidR="002C782F">
        <w:rPr>
          <w:rFonts w:cs="Times New Roman"/>
          <w:szCs w:val="24"/>
        </w:rPr>
        <w:t xml:space="preserve">In </w:t>
      </w:r>
      <w:r w:rsidR="002C782F">
        <w:rPr>
          <w:rFonts w:cs="Times New Roman"/>
          <w:i/>
          <w:szCs w:val="24"/>
        </w:rPr>
        <w:t xml:space="preserve">State v. </w:t>
      </w:r>
      <w:proofErr w:type="spellStart"/>
      <w:r w:rsidR="002C782F">
        <w:rPr>
          <w:rFonts w:cs="Times New Roman"/>
          <w:i/>
          <w:szCs w:val="24"/>
        </w:rPr>
        <w:t>Finneman</w:t>
      </w:r>
      <w:proofErr w:type="spellEnd"/>
      <w:r w:rsidR="002C782F">
        <w:rPr>
          <w:rFonts w:cs="Times New Roman"/>
          <w:szCs w:val="24"/>
        </w:rPr>
        <w:t>, the defendant was charged with disorderly conduct under N.J.S. 2C:33-2(a)(1).</w:t>
      </w:r>
      <w:r w:rsidR="002C782F">
        <w:rPr>
          <w:rStyle w:val="FootnoteReference"/>
          <w:rFonts w:cs="Times New Roman"/>
          <w:szCs w:val="24"/>
        </w:rPr>
        <w:footnoteReference w:id="14"/>
      </w:r>
      <w:r w:rsidR="002C782F">
        <w:rPr>
          <w:rFonts w:cs="Times New Roman"/>
          <w:szCs w:val="24"/>
        </w:rPr>
        <w:t xml:space="preserve"> The State, therefore, was required to prove that the defendant “acted with purpose to cause public inconvenience, annoyance or alarm, or recklessly creating a risk thereof[,] … [e]</w:t>
      </w:r>
      <w:proofErr w:type="spellStart"/>
      <w:r w:rsidR="002C782F">
        <w:rPr>
          <w:rFonts w:cs="Times New Roman"/>
          <w:szCs w:val="24"/>
        </w:rPr>
        <w:t>ngaged</w:t>
      </w:r>
      <w:proofErr w:type="spellEnd"/>
      <w:r w:rsidR="002C782F">
        <w:rPr>
          <w:rFonts w:cs="Times New Roman"/>
          <w:szCs w:val="24"/>
        </w:rPr>
        <w:t xml:space="preserve"> in fighting or threatening, or in violent t</w:t>
      </w:r>
      <w:r w:rsidR="00767B9D">
        <w:rPr>
          <w:rFonts w:cs="Times New Roman"/>
          <w:szCs w:val="24"/>
        </w:rPr>
        <w:t>umultuous behavior. The defendant argued that he had not engage</w:t>
      </w:r>
      <w:r w:rsidR="00C353E2">
        <w:rPr>
          <w:rFonts w:cs="Times New Roman"/>
          <w:szCs w:val="24"/>
        </w:rPr>
        <w:t>d</w:t>
      </w:r>
      <w:r w:rsidR="00767B9D">
        <w:rPr>
          <w:rFonts w:cs="Times New Roman"/>
          <w:szCs w:val="24"/>
        </w:rPr>
        <w:t xml:space="preserve"> in tumultuous behavior within the meaning of the statute. </w:t>
      </w:r>
      <w:r w:rsidR="002A60F5">
        <w:rPr>
          <w:rFonts w:cs="Times New Roman"/>
          <w:szCs w:val="24"/>
        </w:rPr>
        <w:t xml:space="preserve">After engaging an analysis of the statute, the defendant’s convictions were ultimately affirmed. Staff’s review and analysis of </w:t>
      </w:r>
      <w:r w:rsidR="009E64DB">
        <w:rPr>
          <w:rFonts w:cs="Times New Roman"/>
          <w:szCs w:val="24"/>
        </w:rPr>
        <w:t xml:space="preserve">the terms “public” and “tumultuous” as they appear in the statute </w:t>
      </w:r>
      <w:r w:rsidR="002A60F5">
        <w:rPr>
          <w:rFonts w:cs="Times New Roman"/>
          <w:szCs w:val="24"/>
        </w:rPr>
        <w:t>follows.</w:t>
      </w:r>
    </w:p>
    <w:p w14:paraId="766E4F74" w14:textId="77777777" w:rsidR="00767B9D" w:rsidRDefault="00767B9D" w:rsidP="00767B9D">
      <w:pPr>
        <w:ind w:firstLine="720"/>
        <w:jc w:val="both"/>
        <w:rPr>
          <w:rFonts w:cs="Times New Roman"/>
          <w:szCs w:val="24"/>
        </w:rPr>
      </w:pPr>
      <w:r>
        <w:rPr>
          <w:rFonts w:ascii="Segoe UI Semilight" w:hAnsi="Segoe UI Semilight" w:cs="Segoe UI Semilight"/>
          <w:szCs w:val="24"/>
        </w:rPr>
        <w:t>•</w:t>
      </w:r>
      <w:r>
        <w:rPr>
          <w:rFonts w:cs="Times New Roman"/>
          <w:szCs w:val="24"/>
        </w:rPr>
        <w:t xml:space="preserve"> </w:t>
      </w:r>
      <w:r w:rsidRPr="003C6334">
        <w:rPr>
          <w:rFonts w:cs="Times New Roman"/>
          <w:i/>
          <w:szCs w:val="24"/>
        </w:rPr>
        <w:t>Public</w:t>
      </w:r>
    </w:p>
    <w:p w14:paraId="69939D74" w14:textId="17892547" w:rsidR="00767B9D" w:rsidRDefault="00767B9D" w:rsidP="003C6334">
      <w:pPr>
        <w:jc w:val="both"/>
        <w:rPr>
          <w:rFonts w:cs="Times New Roman"/>
          <w:szCs w:val="24"/>
        </w:rPr>
      </w:pPr>
      <w:r>
        <w:rPr>
          <w:rFonts w:cs="Times New Roman"/>
          <w:szCs w:val="24"/>
        </w:rPr>
        <w:tab/>
        <w:t xml:space="preserve">The Appellate Division commenced its analysis with an examination of the </w:t>
      </w:r>
      <w:r w:rsidR="00C353E2">
        <w:rPr>
          <w:rFonts w:cs="Times New Roman"/>
          <w:szCs w:val="24"/>
        </w:rPr>
        <w:t>“</w:t>
      </w:r>
      <w:r>
        <w:rPr>
          <w:rFonts w:cs="Times New Roman"/>
          <w:szCs w:val="24"/>
        </w:rPr>
        <w:t>Disorderly Conduct</w:t>
      </w:r>
      <w:r w:rsidR="00C353E2">
        <w:rPr>
          <w:rFonts w:cs="Times New Roman"/>
          <w:szCs w:val="24"/>
        </w:rPr>
        <w:t>”</w:t>
      </w:r>
      <w:r>
        <w:rPr>
          <w:rFonts w:cs="Times New Roman"/>
          <w:szCs w:val="24"/>
        </w:rPr>
        <w:t xml:space="preserve"> statute. </w:t>
      </w:r>
      <w:r w:rsidR="00C353E2">
        <w:rPr>
          <w:rFonts w:cs="Times New Roman"/>
          <w:szCs w:val="24"/>
        </w:rPr>
        <w:t xml:space="preserve">In its current form, </w:t>
      </w:r>
      <w:r>
        <w:rPr>
          <w:rFonts w:cs="Times New Roman"/>
          <w:szCs w:val="24"/>
        </w:rPr>
        <w:t>N.J.S. 2C:33-2 provides</w:t>
      </w:r>
      <w:r w:rsidR="00C353E2">
        <w:rPr>
          <w:rFonts w:cs="Times New Roman"/>
          <w:szCs w:val="24"/>
        </w:rPr>
        <w:t>:</w:t>
      </w:r>
      <w:r>
        <w:rPr>
          <w:rFonts w:cs="Times New Roman"/>
          <w:szCs w:val="24"/>
        </w:rPr>
        <w:t xml:space="preserve"> </w:t>
      </w:r>
    </w:p>
    <w:p w14:paraId="0B3C6726" w14:textId="77777777" w:rsidR="00767B9D" w:rsidRDefault="00767B9D" w:rsidP="00767B9D">
      <w:pPr>
        <w:spacing w:after="0" w:line="240" w:lineRule="auto"/>
        <w:ind w:left="1440" w:right="1440"/>
        <w:jc w:val="both"/>
        <w:rPr>
          <w:rFonts w:cs="Times New Roman"/>
          <w:color w:val="000000"/>
          <w:szCs w:val="24"/>
        </w:rPr>
      </w:pPr>
      <w:r>
        <w:rPr>
          <w:rFonts w:cs="Times New Roman"/>
          <w:b/>
          <w:bCs/>
          <w:color w:val="000000"/>
          <w:szCs w:val="24"/>
        </w:rPr>
        <w:t>a. Improper behavior.</w:t>
      </w:r>
      <w:r>
        <w:rPr>
          <w:rFonts w:cs="Times New Roman"/>
          <w:color w:val="000000"/>
          <w:szCs w:val="24"/>
        </w:rPr>
        <w:t xml:space="preserve"> A person is guilty of a petty disorderly persons offense, if with purpose to cause </w:t>
      </w:r>
      <w:r w:rsidRPr="00C353E2">
        <w:rPr>
          <w:rFonts w:cs="Times New Roman"/>
          <w:b/>
          <w:color w:val="000000"/>
          <w:szCs w:val="24"/>
        </w:rPr>
        <w:t>public</w:t>
      </w:r>
      <w:r>
        <w:rPr>
          <w:rFonts w:cs="Times New Roman"/>
          <w:color w:val="000000"/>
          <w:szCs w:val="24"/>
        </w:rPr>
        <w:t xml:space="preserve"> inconvenience, annoyance or alarm, or recklessly creating a risk thereof he </w:t>
      </w:r>
    </w:p>
    <w:p w14:paraId="5CE1FF8D" w14:textId="77777777" w:rsidR="00DC3546" w:rsidRDefault="00DC3546" w:rsidP="00767B9D">
      <w:pPr>
        <w:spacing w:after="0" w:line="240" w:lineRule="auto"/>
        <w:ind w:left="1440" w:right="1440"/>
        <w:jc w:val="both"/>
        <w:rPr>
          <w:rFonts w:cs="Times New Roman"/>
          <w:color w:val="000000"/>
          <w:szCs w:val="24"/>
        </w:rPr>
      </w:pPr>
    </w:p>
    <w:p w14:paraId="274DCAD0" w14:textId="77777777" w:rsidR="00767B9D" w:rsidRDefault="00767B9D" w:rsidP="00767B9D">
      <w:pPr>
        <w:spacing w:after="0"/>
        <w:ind w:left="1440" w:right="1440"/>
        <w:jc w:val="both"/>
        <w:rPr>
          <w:rFonts w:eastAsia="Times New Roman" w:cs="Times New Roman"/>
          <w:color w:val="000000"/>
          <w:szCs w:val="24"/>
        </w:rPr>
      </w:pPr>
      <w:r>
        <w:rPr>
          <w:rFonts w:eastAsia="Times New Roman" w:cs="Times New Roman"/>
          <w:color w:val="000000"/>
          <w:szCs w:val="24"/>
        </w:rPr>
        <w:t xml:space="preserve">(1) Engages in fighting or threatening, or in violent or </w:t>
      </w:r>
      <w:r w:rsidRPr="00C353E2">
        <w:rPr>
          <w:rFonts w:eastAsia="Times New Roman" w:cs="Times New Roman"/>
          <w:b/>
          <w:color w:val="000000"/>
          <w:szCs w:val="24"/>
        </w:rPr>
        <w:t>tumultuous</w:t>
      </w:r>
      <w:r>
        <w:rPr>
          <w:rFonts w:eastAsia="Times New Roman" w:cs="Times New Roman"/>
          <w:color w:val="000000"/>
          <w:szCs w:val="24"/>
        </w:rPr>
        <w:t xml:space="preserve"> behavior; or</w:t>
      </w:r>
    </w:p>
    <w:p w14:paraId="6E6A5544" w14:textId="77777777" w:rsidR="00767B9D" w:rsidRDefault="00767B9D" w:rsidP="00767B9D">
      <w:pPr>
        <w:spacing w:after="0" w:line="240" w:lineRule="auto"/>
        <w:ind w:left="1440" w:right="1440"/>
        <w:jc w:val="both"/>
        <w:rPr>
          <w:rFonts w:eastAsia="Times New Roman" w:cs="Times New Roman"/>
          <w:color w:val="000000"/>
          <w:szCs w:val="24"/>
        </w:rPr>
      </w:pPr>
      <w:r>
        <w:rPr>
          <w:rFonts w:eastAsia="Times New Roman" w:cs="Times New Roman"/>
          <w:color w:val="000000"/>
          <w:szCs w:val="24"/>
        </w:rPr>
        <w:t>(2) Creates a hazardous or physically dangerous condition by any act which serves no legitimate purpose of the actor.</w:t>
      </w:r>
    </w:p>
    <w:p w14:paraId="09233AB6" w14:textId="77777777" w:rsidR="00C353E2" w:rsidRDefault="00C353E2" w:rsidP="00767B9D">
      <w:pPr>
        <w:spacing w:after="0" w:line="240" w:lineRule="auto"/>
        <w:ind w:left="1440" w:right="1440"/>
        <w:jc w:val="both"/>
        <w:rPr>
          <w:rFonts w:eastAsia="Times New Roman" w:cs="Times New Roman"/>
          <w:color w:val="000000"/>
          <w:szCs w:val="24"/>
        </w:rPr>
      </w:pPr>
    </w:p>
    <w:p w14:paraId="45CC5939" w14:textId="77777777" w:rsidR="00400C21" w:rsidRDefault="00400C21" w:rsidP="00400C21">
      <w:pPr>
        <w:spacing w:after="0" w:line="240" w:lineRule="auto"/>
        <w:ind w:left="1440" w:right="1440"/>
        <w:jc w:val="both"/>
        <w:rPr>
          <w:rFonts w:eastAsia="Times New Roman" w:cs="Times New Roman"/>
          <w:color w:val="000000"/>
          <w:szCs w:val="24"/>
        </w:rPr>
      </w:pPr>
      <w:r>
        <w:rPr>
          <w:rFonts w:eastAsia="Times New Roman" w:cs="Times New Roman"/>
          <w:b/>
          <w:bCs/>
          <w:color w:val="000000"/>
          <w:szCs w:val="24"/>
        </w:rPr>
        <w:t>b. Offensive language.</w:t>
      </w:r>
      <w:r>
        <w:rPr>
          <w:rFonts w:eastAsia="Times New Roman" w:cs="Times New Roman"/>
          <w:color w:val="000000"/>
          <w:szCs w:val="24"/>
        </w:rPr>
        <w:t xml:space="preserve"> A person is guilty of a petty disorderly persons offense if, in a </w:t>
      </w:r>
      <w:r w:rsidRPr="00400C21">
        <w:rPr>
          <w:rFonts w:eastAsia="Times New Roman" w:cs="Times New Roman"/>
          <w:b/>
          <w:color w:val="000000"/>
          <w:szCs w:val="24"/>
        </w:rPr>
        <w:t>public</w:t>
      </w:r>
      <w:r>
        <w:rPr>
          <w:rFonts w:eastAsia="Times New Roman" w:cs="Times New Roman"/>
          <w:color w:val="000000"/>
          <w:szCs w:val="24"/>
        </w:rPr>
        <w:t xml:space="preserve"> place, and with purpose to offend the sensibilities of a hearer or in reckless disregard of the probability of so doing, he addresses unreasonably loud and offensively coarse or abusive language, given the circumstances of the person present and the setting of the utterance, to any person present.</w:t>
      </w:r>
    </w:p>
    <w:p w14:paraId="27901735" w14:textId="610ACDEC" w:rsidR="00C353E2" w:rsidRDefault="00C353E2" w:rsidP="00767B9D">
      <w:pPr>
        <w:spacing w:after="0" w:line="240" w:lineRule="auto"/>
        <w:ind w:left="1440" w:right="1440"/>
        <w:jc w:val="both"/>
        <w:rPr>
          <w:rFonts w:eastAsia="Times New Roman" w:cs="Times New Roman"/>
          <w:color w:val="000000"/>
          <w:szCs w:val="24"/>
        </w:rPr>
      </w:pPr>
      <w:r>
        <w:rPr>
          <w:rFonts w:eastAsia="Times New Roman" w:cs="Times New Roman"/>
          <w:color w:val="000000"/>
          <w:szCs w:val="24"/>
        </w:rPr>
        <w:t>(Emphasis added).</w:t>
      </w:r>
    </w:p>
    <w:p w14:paraId="00560B64" w14:textId="77777777" w:rsidR="00767B9D" w:rsidRDefault="00767B9D" w:rsidP="00767B9D">
      <w:pPr>
        <w:spacing w:after="0" w:line="240" w:lineRule="auto"/>
        <w:ind w:left="720" w:right="720" w:firstLine="245"/>
        <w:jc w:val="both"/>
        <w:rPr>
          <w:rFonts w:eastAsia="Times New Roman" w:cs="Times New Roman"/>
          <w:b/>
          <w:bCs/>
          <w:color w:val="000000"/>
          <w:szCs w:val="24"/>
        </w:rPr>
      </w:pPr>
    </w:p>
    <w:p w14:paraId="4B99DCCF" w14:textId="63939A2D" w:rsidR="00DC3546" w:rsidRDefault="00DD699B" w:rsidP="005E23CB">
      <w:pPr>
        <w:jc w:val="both"/>
        <w:rPr>
          <w:rFonts w:cs="Times New Roman"/>
          <w:szCs w:val="24"/>
        </w:rPr>
      </w:pPr>
      <w:r>
        <w:rPr>
          <w:rFonts w:cs="Times New Roman"/>
          <w:szCs w:val="24"/>
        </w:rPr>
        <w:t>Conspicuously absent from subsection a.</w:t>
      </w:r>
      <w:r w:rsidR="00C353E2">
        <w:rPr>
          <w:rFonts w:cs="Times New Roman"/>
          <w:szCs w:val="24"/>
        </w:rPr>
        <w:t xml:space="preserve"> </w:t>
      </w:r>
      <w:r>
        <w:rPr>
          <w:rFonts w:cs="Times New Roman"/>
          <w:szCs w:val="24"/>
        </w:rPr>
        <w:t xml:space="preserve">is </w:t>
      </w:r>
      <w:r w:rsidR="00C353E2">
        <w:rPr>
          <w:rFonts w:cs="Times New Roman"/>
          <w:szCs w:val="24"/>
        </w:rPr>
        <w:t>a definition for either the word “public” or the word “tumultuous.” In attempting to ascertain a definition of the word “public”</w:t>
      </w:r>
      <w:r w:rsidR="00DC3546">
        <w:rPr>
          <w:rFonts w:cs="Times New Roman"/>
          <w:szCs w:val="24"/>
        </w:rPr>
        <w:t xml:space="preserve"> the court did not have to look further than </w:t>
      </w:r>
      <w:r w:rsidR="00C85E2F">
        <w:rPr>
          <w:rFonts w:cs="Times New Roman"/>
          <w:szCs w:val="24"/>
        </w:rPr>
        <w:t xml:space="preserve">just beneath </w:t>
      </w:r>
      <w:r w:rsidR="00DC3546">
        <w:rPr>
          <w:rFonts w:cs="Times New Roman"/>
          <w:szCs w:val="24"/>
        </w:rPr>
        <w:t>section b</w:t>
      </w:r>
      <w:r w:rsidR="00C85E2F">
        <w:rPr>
          <w:rFonts w:cs="Times New Roman"/>
          <w:szCs w:val="24"/>
        </w:rPr>
        <w:t>., of the same statute.</w:t>
      </w:r>
    </w:p>
    <w:p w14:paraId="714CEBA1" w14:textId="529C9CB4" w:rsidR="00617921" w:rsidRDefault="00C85E2F" w:rsidP="005E23CB">
      <w:pPr>
        <w:jc w:val="both"/>
        <w:rPr>
          <w:rFonts w:cs="Times New Roman"/>
          <w:szCs w:val="24"/>
        </w:rPr>
      </w:pPr>
      <w:r>
        <w:rPr>
          <w:rFonts w:cs="Times New Roman"/>
          <w:szCs w:val="24"/>
        </w:rPr>
        <w:lastRenderedPageBreak/>
        <w:tab/>
        <w:t>N.J.S. 2C:33-2(b) of the Disorderly Conduct statute is entitled “Offensive Language.” Directly beneath section b.</w:t>
      </w:r>
      <w:r w:rsidR="00E94260">
        <w:rPr>
          <w:rFonts w:cs="Times New Roman"/>
          <w:szCs w:val="24"/>
        </w:rPr>
        <w:t>, in a separate un-lettered paragraph,</w:t>
      </w:r>
      <w:r>
        <w:rPr>
          <w:rFonts w:cs="Times New Roman"/>
          <w:szCs w:val="24"/>
        </w:rPr>
        <w:t xml:space="preserve"> is a d</w:t>
      </w:r>
      <w:r w:rsidR="00617921">
        <w:rPr>
          <w:rFonts w:cs="Times New Roman"/>
          <w:szCs w:val="24"/>
        </w:rPr>
        <w:t xml:space="preserve">efinition of the word “public.” </w:t>
      </w:r>
      <w:r>
        <w:rPr>
          <w:rFonts w:cs="Times New Roman"/>
          <w:szCs w:val="24"/>
        </w:rPr>
        <w:t>Th</w:t>
      </w:r>
      <w:r w:rsidR="00617921">
        <w:rPr>
          <w:rFonts w:cs="Times New Roman"/>
          <w:szCs w:val="24"/>
        </w:rPr>
        <w:t>e</w:t>
      </w:r>
      <w:r w:rsidR="00E94260">
        <w:rPr>
          <w:rFonts w:cs="Times New Roman"/>
          <w:szCs w:val="24"/>
        </w:rPr>
        <w:t xml:space="preserve"> term public </w:t>
      </w:r>
      <w:r>
        <w:rPr>
          <w:rFonts w:cs="Times New Roman"/>
          <w:szCs w:val="24"/>
        </w:rPr>
        <w:t xml:space="preserve">as </w:t>
      </w:r>
      <w:r w:rsidR="00617921">
        <w:rPr>
          <w:rFonts w:cs="Times New Roman"/>
          <w:szCs w:val="24"/>
        </w:rPr>
        <w:t>means</w:t>
      </w:r>
      <w:r>
        <w:rPr>
          <w:rFonts w:cs="Times New Roman"/>
          <w:szCs w:val="24"/>
        </w:rPr>
        <w:t>: “… affecting or likely to affect persons in a place to which the public or a substantial group has access; among the places included are highways, transport facilities, schools, prisons, apartment houses, places of business or amusement</w:t>
      </w:r>
      <w:r w:rsidR="00617921">
        <w:rPr>
          <w:rFonts w:cs="Times New Roman"/>
          <w:szCs w:val="24"/>
        </w:rPr>
        <w:t xml:space="preserve">, or any neighborhood.” The location of this definition within the statute, however, gave the Appellate Court pause to consider whether it applied solely to subsection b. or whether it applied to subsection a. as well. </w:t>
      </w:r>
    </w:p>
    <w:p w14:paraId="7E7D1C72" w14:textId="160DA753" w:rsidR="00B41449" w:rsidRDefault="00617921" w:rsidP="005E23CB">
      <w:pPr>
        <w:jc w:val="both"/>
        <w:rPr>
          <w:rFonts w:cs="Times New Roman"/>
          <w:szCs w:val="24"/>
        </w:rPr>
      </w:pPr>
      <w:r>
        <w:rPr>
          <w:rFonts w:cs="Times New Roman"/>
          <w:szCs w:val="24"/>
        </w:rPr>
        <w:tab/>
        <w:t>In conducting its analysis, the Court found that it was “…not clear whether the Legislature intended [subsection (b)] definition to apply to [the] use of the word ‘public’ in subsection [(a)]….”</w:t>
      </w:r>
      <w:r>
        <w:rPr>
          <w:rStyle w:val="FootnoteReference"/>
          <w:rFonts w:cs="Times New Roman"/>
          <w:szCs w:val="24"/>
        </w:rPr>
        <w:footnoteReference w:id="15"/>
      </w:r>
      <w:r>
        <w:rPr>
          <w:rFonts w:cs="Times New Roman"/>
          <w:szCs w:val="24"/>
        </w:rPr>
        <w:t xml:space="preserve"> </w:t>
      </w:r>
      <w:r w:rsidR="00B41449">
        <w:rPr>
          <w:rFonts w:cs="Times New Roman"/>
          <w:szCs w:val="24"/>
        </w:rPr>
        <w:t>The Court went on to hold that the definition of public that immediately follows subsection b. also applies to subsection a. of the statute. The Court’s explanation for this finding was simply that “…for present purposes we assume a consistency of meaning.”</w:t>
      </w:r>
      <w:r w:rsidR="00B41449">
        <w:rPr>
          <w:rStyle w:val="FootnoteReference"/>
          <w:rFonts w:cs="Times New Roman"/>
          <w:szCs w:val="24"/>
        </w:rPr>
        <w:footnoteReference w:id="16"/>
      </w:r>
      <w:r w:rsidR="00B41449">
        <w:rPr>
          <w:rFonts w:cs="Times New Roman"/>
          <w:szCs w:val="24"/>
        </w:rPr>
        <w:t xml:space="preserve"> </w:t>
      </w:r>
      <w:r w:rsidR="00861CC1">
        <w:rPr>
          <w:rFonts w:cs="Times New Roman"/>
          <w:szCs w:val="24"/>
        </w:rPr>
        <w:t xml:space="preserve">The </w:t>
      </w:r>
      <w:r w:rsidR="002B5562">
        <w:rPr>
          <w:rFonts w:cs="Times New Roman"/>
          <w:szCs w:val="24"/>
        </w:rPr>
        <w:t xml:space="preserve">Court’s </w:t>
      </w:r>
      <w:r w:rsidR="00E94260">
        <w:rPr>
          <w:rFonts w:cs="Times New Roman"/>
          <w:szCs w:val="24"/>
        </w:rPr>
        <w:t xml:space="preserve">use of the </w:t>
      </w:r>
      <w:r w:rsidR="00861CC1">
        <w:rPr>
          <w:rFonts w:cs="Times New Roman"/>
          <w:szCs w:val="24"/>
        </w:rPr>
        <w:t xml:space="preserve">“present purpose” </w:t>
      </w:r>
      <w:r w:rsidR="00E94260">
        <w:rPr>
          <w:rFonts w:cs="Times New Roman"/>
          <w:szCs w:val="24"/>
        </w:rPr>
        <w:t>short</w:t>
      </w:r>
      <w:r w:rsidR="002B5562">
        <w:rPr>
          <w:rFonts w:cs="Times New Roman"/>
          <w:szCs w:val="24"/>
        </w:rPr>
        <w:t>hand</w:t>
      </w:r>
      <w:r w:rsidR="00861CC1">
        <w:rPr>
          <w:rFonts w:cs="Times New Roman"/>
          <w:szCs w:val="24"/>
        </w:rPr>
        <w:t xml:space="preserve">, however, does not provide </w:t>
      </w:r>
      <w:r w:rsidR="002B5562">
        <w:rPr>
          <w:rFonts w:cs="Times New Roman"/>
          <w:szCs w:val="24"/>
        </w:rPr>
        <w:t xml:space="preserve">a definitive </w:t>
      </w:r>
      <w:r w:rsidR="00861CC1">
        <w:rPr>
          <w:rFonts w:cs="Times New Roman"/>
          <w:szCs w:val="24"/>
        </w:rPr>
        <w:t xml:space="preserve">basis for this conclusion.  </w:t>
      </w:r>
    </w:p>
    <w:p w14:paraId="4B9F43E6" w14:textId="20652566" w:rsidR="002B5562" w:rsidRDefault="002B5562" w:rsidP="005E23CB">
      <w:pPr>
        <w:ind w:firstLine="720"/>
        <w:jc w:val="both"/>
        <w:rPr>
          <w:rFonts w:cs="Times New Roman"/>
          <w:szCs w:val="24"/>
        </w:rPr>
      </w:pPr>
      <w:r>
        <w:rPr>
          <w:rFonts w:ascii="Segoe UI Semilight" w:hAnsi="Segoe UI Semilight" w:cs="Segoe UI Semilight"/>
          <w:szCs w:val="24"/>
        </w:rPr>
        <w:t>•</w:t>
      </w:r>
      <w:r>
        <w:rPr>
          <w:rFonts w:cs="Times New Roman"/>
          <w:szCs w:val="24"/>
        </w:rPr>
        <w:t xml:space="preserve"> </w:t>
      </w:r>
      <w:r>
        <w:rPr>
          <w:rFonts w:cs="Times New Roman"/>
          <w:i/>
          <w:szCs w:val="24"/>
        </w:rPr>
        <w:t>The Model Penal Code</w:t>
      </w:r>
    </w:p>
    <w:p w14:paraId="5FDA18AB" w14:textId="7FE82EE6" w:rsidR="00861CC1" w:rsidRDefault="002B5562" w:rsidP="005E23CB">
      <w:pPr>
        <w:ind w:firstLine="720"/>
        <w:jc w:val="both"/>
        <w:rPr>
          <w:rFonts w:cs="Times New Roman"/>
          <w:szCs w:val="24"/>
        </w:rPr>
      </w:pPr>
      <w:r>
        <w:rPr>
          <w:rFonts w:cs="Times New Roman"/>
          <w:szCs w:val="24"/>
        </w:rPr>
        <w:t xml:space="preserve">New Jersey’s Disorderly Conduct statute is based upon the language contained in the Model Penal Code. </w:t>
      </w:r>
      <w:r w:rsidR="00B41449">
        <w:rPr>
          <w:rFonts w:cs="Times New Roman"/>
          <w:szCs w:val="24"/>
        </w:rPr>
        <w:t xml:space="preserve">A </w:t>
      </w:r>
      <w:r w:rsidR="00B94D92">
        <w:rPr>
          <w:rFonts w:cs="Times New Roman"/>
          <w:szCs w:val="24"/>
        </w:rPr>
        <w:t xml:space="preserve">comparison of </w:t>
      </w:r>
      <w:r w:rsidR="00B41449">
        <w:rPr>
          <w:rFonts w:cs="Times New Roman"/>
          <w:szCs w:val="24"/>
        </w:rPr>
        <w:t xml:space="preserve">New Jersey’s Disorderly Conduct Statute </w:t>
      </w:r>
      <w:r w:rsidR="00B94D92">
        <w:rPr>
          <w:rFonts w:cs="Times New Roman"/>
          <w:szCs w:val="24"/>
        </w:rPr>
        <w:t xml:space="preserve">with the Model Penal Code (MPC) statute of the same name </w:t>
      </w:r>
      <w:r w:rsidR="00B41449">
        <w:rPr>
          <w:rFonts w:cs="Times New Roman"/>
          <w:szCs w:val="24"/>
        </w:rPr>
        <w:t xml:space="preserve">provides </w:t>
      </w:r>
      <w:r w:rsidR="00B94D92">
        <w:rPr>
          <w:rFonts w:cs="Times New Roman"/>
          <w:szCs w:val="24"/>
        </w:rPr>
        <w:t>the basis for applying</w:t>
      </w:r>
      <w:r w:rsidR="00B41449">
        <w:rPr>
          <w:rFonts w:cs="Times New Roman"/>
          <w:szCs w:val="24"/>
        </w:rPr>
        <w:t xml:space="preserve"> the definition of the term </w:t>
      </w:r>
      <w:r w:rsidR="00B94D92">
        <w:rPr>
          <w:rFonts w:cs="Times New Roman"/>
          <w:szCs w:val="24"/>
        </w:rPr>
        <w:t>“</w:t>
      </w:r>
      <w:r w:rsidR="00B41449">
        <w:rPr>
          <w:rFonts w:cs="Times New Roman"/>
          <w:szCs w:val="24"/>
        </w:rPr>
        <w:t>public</w:t>
      </w:r>
      <w:r w:rsidR="00B94D92">
        <w:rPr>
          <w:rFonts w:cs="Times New Roman"/>
          <w:szCs w:val="24"/>
        </w:rPr>
        <w:t>”</w:t>
      </w:r>
      <w:r w:rsidR="00B41449">
        <w:rPr>
          <w:rFonts w:cs="Times New Roman"/>
          <w:szCs w:val="24"/>
        </w:rPr>
        <w:t xml:space="preserve"> </w:t>
      </w:r>
      <w:r w:rsidR="007600F9">
        <w:rPr>
          <w:rFonts w:cs="Times New Roman"/>
          <w:szCs w:val="24"/>
        </w:rPr>
        <w:t>to both subsections</w:t>
      </w:r>
      <w:r>
        <w:rPr>
          <w:rFonts w:cs="Times New Roman"/>
          <w:szCs w:val="24"/>
        </w:rPr>
        <w:t xml:space="preserve"> of the New Jersey statute</w:t>
      </w:r>
      <w:r w:rsidR="00B94D92">
        <w:rPr>
          <w:rFonts w:cs="Times New Roman"/>
          <w:szCs w:val="24"/>
        </w:rPr>
        <w:t>.</w:t>
      </w:r>
      <w:r w:rsidR="007600F9">
        <w:rPr>
          <w:rFonts w:cs="Times New Roman"/>
          <w:szCs w:val="24"/>
        </w:rPr>
        <w:t xml:space="preserve"> </w:t>
      </w:r>
      <w:r w:rsidR="008617C0">
        <w:rPr>
          <w:rFonts w:cs="Times New Roman"/>
          <w:szCs w:val="24"/>
        </w:rPr>
        <w:t>Th</w:t>
      </w:r>
      <w:r w:rsidR="00B94D92">
        <w:rPr>
          <w:rFonts w:cs="Times New Roman"/>
          <w:szCs w:val="24"/>
        </w:rPr>
        <w:t xml:space="preserve">e New Jersey </w:t>
      </w:r>
      <w:r w:rsidR="008617C0">
        <w:rPr>
          <w:rFonts w:cs="Times New Roman"/>
          <w:szCs w:val="24"/>
        </w:rPr>
        <w:t xml:space="preserve">definition </w:t>
      </w:r>
      <w:r w:rsidR="00B94D92">
        <w:rPr>
          <w:rFonts w:cs="Times New Roman"/>
          <w:szCs w:val="24"/>
        </w:rPr>
        <w:t xml:space="preserve">of “public” </w:t>
      </w:r>
      <w:r w:rsidR="008617C0">
        <w:rPr>
          <w:rFonts w:cs="Times New Roman"/>
          <w:szCs w:val="24"/>
        </w:rPr>
        <w:t xml:space="preserve">is identical to the definition of </w:t>
      </w:r>
      <w:r w:rsidR="00861CC1">
        <w:rPr>
          <w:rFonts w:cs="Times New Roman"/>
          <w:szCs w:val="24"/>
        </w:rPr>
        <w:t xml:space="preserve">the same word </w:t>
      </w:r>
      <w:r w:rsidR="008617C0">
        <w:rPr>
          <w:rFonts w:cs="Times New Roman"/>
          <w:szCs w:val="24"/>
        </w:rPr>
        <w:t>set forth in the Model Penal Code.</w:t>
      </w:r>
      <w:r w:rsidR="008617C0">
        <w:rPr>
          <w:rStyle w:val="FootnoteReference"/>
          <w:rFonts w:cs="Times New Roman"/>
          <w:szCs w:val="24"/>
        </w:rPr>
        <w:footnoteReference w:id="17"/>
      </w:r>
      <w:r w:rsidR="008617C0">
        <w:rPr>
          <w:rFonts w:cs="Times New Roman"/>
          <w:szCs w:val="24"/>
        </w:rPr>
        <w:t xml:space="preserve"> </w:t>
      </w:r>
      <w:r w:rsidR="00861CC1">
        <w:rPr>
          <w:rFonts w:cs="Times New Roman"/>
          <w:szCs w:val="24"/>
        </w:rPr>
        <w:t xml:space="preserve">The only distinction between the two </w:t>
      </w:r>
      <w:r w:rsidR="003D6FBA">
        <w:rPr>
          <w:rFonts w:cs="Times New Roman"/>
          <w:szCs w:val="24"/>
        </w:rPr>
        <w:t>sections</w:t>
      </w:r>
      <w:r w:rsidR="00861CC1">
        <w:rPr>
          <w:rFonts w:cs="Times New Roman"/>
          <w:szCs w:val="24"/>
        </w:rPr>
        <w:t xml:space="preserve"> deals with placement, rather than substance. </w:t>
      </w:r>
    </w:p>
    <w:p w14:paraId="4B1DE588" w14:textId="06427FEF" w:rsidR="00861CC1" w:rsidRDefault="00861CC1" w:rsidP="005E23CB">
      <w:pPr>
        <w:ind w:firstLine="720"/>
        <w:jc w:val="both"/>
      </w:pPr>
      <w:r>
        <w:t xml:space="preserve">In </w:t>
      </w:r>
      <w:r w:rsidR="008617C0">
        <w:rPr>
          <w:rFonts w:cs="Times New Roman"/>
        </w:rPr>
        <w:t>§</w:t>
      </w:r>
      <w:r>
        <w:t xml:space="preserve">250.2, </w:t>
      </w:r>
      <w:r w:rsidR="008617C0">
        <w:t>of the MPC</w:t>
      </w:r>
      <w:r w:rsidR="001516D1">
        <w:t xml:space="preserve"> </w:t>
      </w:r>
      <w:r w:rsidR="008617C0">
        <w:t xml:space="preserve">the disorderly conduct statute consists of </w:t>
      </w:r>
      <w:r>
        <w:t>two sections.</w:t>
      </w:r>
      <w:r>
        <w:rPr>
          <w:rStyle w:val="FootnoteReference"/>
        </w:rPr>
        <w:footnoteReference w:id="18"/>
      </w:r>
      <w:r>
        <w:t xml:space="preserve"> Subsection 1. of the MPC is entitled “Offenses Defined”</w:t>
      </w:r>
      <w:r w:rsidR="008617C0">
        <w:t xml:space="preserve"> and the </w:t>
      </w:r>
      <w:r>
        <w:t>“</w:t>
      </w:r>
      <w:r w:rsidR="008617C0">
        <w:t>grading</w:t>
      </w:r>
      <w:r>
        <w:t>”</w:t>
      </w:r>
      <w:r w:rsidR="008617C0">
        <w:t xml:space="preserve"> of the offense</w:t>
      </w:r>
      <w:r>
        <w:t xml:space="preserve"> is </w:t>
      </w:r>
      <w:r w:rsidR="008617C0">
        <w:t xml:space="preserve">set forth in subsection 2. The </w:t>
      </w:r>
      <w:r>
        <w:t xml:space="preserve">word </w:t>
      </w:r>
      <w:r w:rsidR="008617C0">
        <w:t>“public” is defined in subsection 1. and directly follows the subsections (a</w:t>
      </w:r>
      <w:r>
        <w:t xml:space="preserve">) </w:t>
      </w:r>
      <w:r w:rsidR="008617C0">
        <w:t>-</w:t>
      </w:r>
      <w:r>
        <w:t xml:space="preserve"> (</w:t>
      </w:r>
      <w:r w:rsidR="008617C0">
        <w:t xml:space="preserve">c) that enumerate the type of behavior that is considered disorderly conduct. It is clear that in the context of the MPC the term “public” is meant to apply to each of the enumerated behaviors. </w:t>
      </w:r>
    </w:p>
    <w:p w14:paraId="3A57F153" w14:textId="50399639" w:rsidR="00C85E2F" w:rsidRDefault="00861CC1" w:rsidP="005E23CB">
      <w:pPr>
        <w:ind w:firstLine="720"/>
        <w:jc w:val="both"/>
        <w:rPr>
          <w:rFonts w:cs="Times New Roman"/>
          <w:szCs w:val="24"/>
        </w:rPr>
      </w:pPr>
      <w:r>
        <w:t xml:space="preserve">By contrast, </w:t>
      </w:r>
      <w:r w:rsidR="008617C0">
        <w:t xml:space="preserve">New Jersey’s disorderly conduct statute, which is based on MPC </w:t>
      </w:r>
      <w:r w:rsidR="008617C0">
        <w:rPr>
          <w:rFonts w:cs="Times New Roman"/>
        </w:rPr>
        <w:t>§</w:t>
      </w:r>
      <w:r w:rsidR="008617C0">
        <w:t>250.2, was bifurcated into t</w:t>
      </w:r>
      <w:r w:rsidR="00557D54">
        <w:t>w</w:t>
      </w:r>
      <w:r w:rsidR="008617C0">
        <w:t>o su</w:t>
      </w:r>
      <w:r>
        <w:t>bsections</w:t>
      </w:r>
      <w:r w:rsidR="00557D54">
        <w:t xml:space="preserve">. The first subsection, </w:t>
      </w:r>
      <w:r>
        <w:t>a. Improper Behavior</w:t>
      </w:r>
      <w:r w:rsidR="00557D54">
        <w:t>,</w:t>
      </w:r>
      <w:r>
        <w:t xml:space="preserve"> </w:t>
      </w:r>
      <w:r w:rsidR="00557D54">
        <w:t>incorporates</w:t>
      </w:r>
      <w:r>
        <w:t xml:space="preserve"> MPC</w:t>
      </w:r>
      <w:r w:rsidR="00EB0A7D">
        <w:t xml:space="preserve"> </w:t>
      </w:r>
      <w:r w:rsidR="00EB0A7D">
        <w:rPr>
          <w:rFonts w:cs="Times New Roman"/>
        </w:rPr>
        <w:t>§</w:t>
      </w:r>
      <w:r w:rsidR="00EB0A7D">
        <w:t>250.2(1)(a) and (c)</w:t>
      </w:r>
      <w:r w:rsidR="00557D54">
        <w:t>. The second subsection,</w:t>
      </w:r>
      <w:r w:rsidR="008617C0">
        <w:t xml:space="preserve"> b. Offensive Language</w:t>
      </w:r>
      <w:r w:rsidR="00557D54">
        <w:t>,</w:t>
      </w:r>
      <w:r w:rsidR="00EB0A7D">
        <w:t xml:space="preserve"> is </w:t>
      </w:r>
      <w:r w:rsidR="00557D54">
        <w:t xml:space="preserve">predicated </w:t>
      </w:r>
      <w:r w:rsidR="00F83DD2">
        <w:t>upon</w:t>
      </w:r>
      <w:r w:rsidR="00EB0A7D">
        <w:t xml:space="preserve"> 250.2(1)(a)</w:t>
      </w:r>
      <w:r w:rsidR="008617C0">
        <w:t xml:space="preserve">. The appearance of the definition of “public” immediately following subsection b. </w:t>
      </w:r>
      <w:r w:rsidR="008617C0">
        <w:lastRenderedPageBreak/>
        <w:t xml:space="preserve">when viewed in connection with the original language of the MPC is indicia that the term applies to both provisions of the </w:t>
      </w:r>
      <w:r>
        <w:t xml:space="preserve">New Jersey </w:t>
      </w:r>
      <w:r w:rsidR="008617C0">
        <w:t xml:space="preserve">statute.  </w:t>
      </w:r>
    </w:p>
    <w:p w14:paraId="6376C5D5" w14:textId="05E4A490" w:rsidR="00C85E2F" w:rsidRDefault="00EB0A7D" w:rsidP="00C353E2">
      <w:pPr>
        <w:spacing w:after="0" w:line="240" w:lineRule="auto"/>
        <w:jc w:val="both"/>
        <w:rPr>
          <w:rFonts w:cs="Times New Roman"/>
          <w:szCs w:val="24"/>
        </w:rPr>
      </w:pPr>
      <w:r>
        <w:rPr>
          <w:rFonts w:cs="Times New Roman"/>
          <w:szCs w:val="24"/>
        </w:rPr>
        <w:tab/>
        <w:t>To the extent that the structure of New Jersey’s disorderly conduct statute forms the basis of any ambiguity, clarif</w:t>
      </w:r>
      <w:r w:rsidR="00586F55">
        <w:rPr>
          <w:rFonts w:cs="Times New Roman"/>
          <w:szCs w:val="24"/>
        </w:rPr>
        <w:t>ying it could</w:t>
      </w:r>
      <w:r>
        <w:rPr>
          <w:rFonts w:cs="Times New Roman"/>
          <w:szCs w:val="24"/>
        </w:rPr>
        <w:t xml:space="preserve"> eliminate future confusion.</w:t>
      </w:r>
      <w:r w:rsidR="00557D54">
        <w:rPr>
          <w:rStyle w:val="FootnoteReference"/>
          <w:rFonts w:cs="Times New Roman"/>
          <w:szCs w:val="24"/>
        </w:rPr>
        <w:footnoteReference w:id="19"/>
      </w:r>
      <w:r>
        <w:rPr>
          <w:rFonts w:cs="Times New Roman"/>
          <w:szCs w:val="24"/>
        </w:rPr>
        <w:t xml:space="preserve">  </w:t>
      </w:r>
    </w:p>
    <w:p w14:paraId="1A0FDD09" w14:textId="77777777" w:rsidR="00767B9D" w:rsidRDefault="00767B9D" w:rsidP="00767B9D">
      <w:pPr>
        <w:spacing w:after="0" w:line="240" w:lineRule="auto"/>
        <w:ind w:left="720" w:right="720" w:firstLine="245"/>
        <w:jc w:val="both"/>
        <w:rPr>
          <w:rFonts w:eastAsia="Times New Roman" w:cs="Times New Roman"/>
          <w:b/>
          <w:bCs/>
          <w:color w:val="000000"/>
          <w:szCs w:val="24"/>
        </w:rPr>
      </w:pPr>
    </w:p>
    <w:p w14:paraId="6D9F531F" w14:textId="0367C474" w:rsidR="00767B9D" w:rsidRDefault="00400C21" w:rsidP="00021B94">
      <w:pPr>
        <w:spacing w:after="0" w:line="240" w:lineRule="auto"/>
        <w:ind w:right="720" w:firstLine="720"/>
        <w:jc w:val="both"/>
        <w:rPr>
          <w:rFonts w:cs="Times New Roman"/>
          <w:i/>
          <w:szCs w:val="24"/>
        </w:rPr>
      </w:pPr>
      <w:r>
        <w:rPr>
          <w:rFonts w:ascii="Segoe UI Semilight" w:hAnsi="Segoe UI Semilight" w:cs="Segoe UI Semilight"/>
          <w:szCs w:val="24"/>
        </w:rPr>
        <w:t>•</w:t>
      </w:r>
      <w:r>
        <w:rPr>
          <w:rFonts w:cs="Times New Roman"/>
          <w:szCs w:val="24"/>
        </w:rPr>
        <w:t xml:space="preserve"> </w:t>
      </w:r>
      <w:r>
        <w:rPr>
          <w:rFonts w:cs="Times New Roman"/>
          <w:i/>
          <w:szCs w:val="24"/>
        </w:rPr>
        <w:t>Tumultuous</w:t>
      </w:r>
    </w:p>
    <w:p w14:paraId="29937434" w14:textId="18DDC3A3" w:rsidR="00400C21" w:rsidRDefault="00400C21" w:rsidP="00767B9D">
      <w:pPr>
        <w:spacing w:after="0" w:line="240" w:lineRule="auto"/>
        <w:ind w:left="720" w:right="720" w:firstLine="245"/>
        <w:jc w:val="both"/>
        <w:rPr>
          <w:rFonts w:eastAsia="Times New Roman" w:cs="Times New Roman"/>
          <w:b/>
          <w:bCs/>
          <w:color w:val="000000"/>
          <w:szCs w:val="24"/>
        </w:rPr>
      </w:pPr>
    </w:p>
    <w:p w14:paraId="1ECAE9B2" w14:textId="68B575AB" w:rsidR="008F2F0B" w:rsidRDefault="00021B94" w:rsidP="008F2F0B">
      <w:pPr>
        <w:ind w:firstLine="720"/>
        <w:jc w:val="both"/>
        <w:rPr>
          <w:rFonts w:cs="Times New Roman"/>
          <w:szCs w:val="24"/>
        </w:rPr>
      </w:pPr>
      <w:r>
        <w:rPr>
          <w:rFonts w:eastAsia="Times New Roman" w:cs="Times New Roman"/>
          <w:color w:val="000000"/>
          <w:szCs w:val="24"/>
        </w:rPr>
        <w:t xml:space="preserve">The second issue addressed by the Appellate Division in </w:t>
      </w:r>
      <w:r>
        <w:rPr>
          <w:rFonts w:eastAsia="Times New Roman" w:cs="Times New Roman"/>
          <w:i/>
          <w:color w:val="000000"/>
          <w:szCs w:val="24"/>
        </w:rPr>
        <w:t xml:space="preserve">State v. </w:t>
      </w:r>
      <w:proofErr w:type="spellStart"/>
      <w:r>
        <w:rPr>
          <w:rFonts w:eastAsia="Times New Roman" w:cs="Times New Roman"/>
          <w:i/>
          <w:color w:val="000000"/>
          <w:szCs w:val="24"/>
        </w:rPr>
        <w:t>Finneman</w:t>
      </w:r>
      <w:proofErr w:type="spellEnd"/>
      <w:r>
        <w:rPr>
          <w:rFonts w:eastAsia="Times New Roman" w:cs="Times New Roman"/>
          <w:color w:val="000000"/>
          <w:szCs w:val="24"/>
        </w:rPr>
        <w:t xml:space="preserve"> concerned the meaning of the word “tumultuous.”</w:t>
      </w:r>
      <w:r w:rsidR="008F2F0B" w:rsidRPr="008F2F0B">
        <w:rPr>
          <w:rFonts w:cs="Times New Roman"/>
          <w:szCs w:val="24"/>
        </w:rPr>
        <w:t xml:space="preserve"> </w:t>
      </w:r>
      <w:r w:rsidR="008F2F0B">
        <w:rPr>
          <w:rFonts w:cs="Times New Roman"/>
          <w:szCs w:val="24"/>
        </w:rPr>
        <w:t>The relevant portion of N.J.S. 2C:33-2(a) states the following:</w:t>
      </w:r>
    </w:p>
    <w:p w14:paraId="69741087" w14:textId="01CE4B3C" w:rsidR="008F2F0B" w:rsidRDefault="008F2F0B" w:rsidP="00154606">
      <w:pPr>
        <w:ind w:left="1440" w:rightChars="600" w:right="1440"/>
        <w:jc w:val="both"/>
        <w:rPr>
          <w:rFonts w:cs="Times New Roman"/>
          <w:szCs w:val="24"/>
        </w:rPr>
      </w:pPr>
      <w:r>
        <w:rPr>
          <w:rFonts w:cs="Times New Roman"/>
          <w:szCs w:val="24"/>
        </w:rPr>
        <w:t>A person is guilty of a petty disorderly persons offense, if with purpose to cause public</w:t>
      </w:r>
      <w:r w:rsidR="00154606">
        <w:rPr>
          <w:rFonts w:cs="Times New Roman"/>
          <w:szCs w:val="24"/>
        </w:rPr>
        <w:t xml:space="preserve"> inconvenience</w:t>
      </w:r>
      <w:r>
        <w:rPr>
          <w:rFonts w:cs="Times New Roman"/>
          <w:szCs w:val="24"/>
        </w:rPr>
        <w:t xml:space="preserve">, annoyance or alarm, or recklessly creating a risk thereof he </w:t>
      </w:r>
    </w:p>
    <w:p w14:paraId="24AAF418" w14:textId="514BE73F" w:rsidR="008F2F0B" w:rsidRDefault="008F2F0B" w:rsidP="00154606">
      <w:pPr>
        <w:ind w:left="1440" w:rightChars="600" w:right="1440"/>
        <w:jc w:val="both"/>
        <w:rPr>
          <w:rFonts w:cs="Times New Roman"/>
          <w:szCs w:val="24"/>
        </w:rPr>
      </w:pPr>
      <w:r>
        <w:rPr>
          <w:rFonts w:cs="Times New Roman"/>
          <w:szCs w:val="24"/>
        </w:rPr>
        <w:t xml:space="preserve">(1) Engages in fighting or threatening, or in violent or </w:t>
      </w:r>
      <w:r w:rsidRPr="005D5665">
        <w:rPr>
          <w:rFonts w:cs="Times New Roman"/>
          <w:b/>
          <w:szCs w:val="24"/>
        </w:rPr>
        <w:t>tumultuous</w:t>
      </w:r>
      <w:r w:rsidR="00154606" w:rsidRPr="00FC1B77">
        <w:rPr>
          <w:rStyle w:val="FootnoteReference"/>
          <w:rFonts w:cs="Times New Roman"/>
          <w:szCs w:val="24"/>
        </w:rPr>
        <w:footnoteReference w:id="20"/>
      </w:r>
      <w:r>
        <w:rPr>
          <w:rFonts w:cs="Times New Roman"/>
          <w:szCs w:val="24"/>
        </w:rPr>
        <w:t xml:space="preserve"> behavior …</w:t>
      </w:r>
    </w:p>
    <w:p w14:paraId="4CCE8E80" w14:textId="6B552665" w:rsidR="00FC1B77" w:rsidRDefault="007B47C4" w:rsidP="005D2304">
      <w:pPr>
        <w:jc w:val="both"/>
        <w:rPr>
          <w:rFonts w:eastAsia="Times New Roman" w:cs="Times New Roman"/>
          <w:color w:val="000000"/>
          <w:szCs w:val="24"/>
        </w:rPr>
      </w:pPr>
      <w:r>
        <w:rPr>
          <w:rFonts w:eastAsia="Times New Roman" w:cs="Times New Roman"/>
          <w:color w:val="000000"/>
          <w:szCs w:val="24"/>
        </w:rPr>
        <w:t>The term tumultuous is not frequently used in common parlance</w:t>
      </w:r>
      <w:r w:rsidR="00F52395">
        <w:rPr>
          <w:rFonts w:eastAsia="Times New Roman" w:cs="Times New Roman"/>
          <w:color w:val="000000"/>
          <w:szCs w:val="24"/>
        </w:rPr>
        <w:t>,</w:t>
      </w:r>
      <w:r w:rsidR="003D6FBA">
        <w:rPr>
          <w:rFonts w:eastAsia="Times New Roman" w:cs="Times New Roman"/>
          <w:color w:val="000000"/>
          <w:szCs w:val="24"/>
        </w:rPr>
        <w:t xml:space="preserve"> nor is it</w:t>
      </w:r>
      <w:r>
        <w:rPr>
          <w:rFonts w:eastAsia="Times New Roman" w:cs="Times New Roman"/>
          <w:color w:val="000000"/>
          <w:szCs w:val="24"/>
        </w:rPr>
        <w:t xml:space="preserve"> defined in the New Jersey Code of Criminal Justice. The Court, therefore, chose to examine extrinsic sources to ascertain a definition of the term tumultuous.  </w:t>
      </w:r>
    </w:p>
    <w:p w14:paraId="78A2D158" w14:textId="7303F672" w:rsidR="007F6DC7" w:rsidRDefault="00DB01FF" w:rsidP="005D2304">
      <w:pPr>
        <w:ind w:firstLine="720"/>
        <w:jc w:val="both"/>
        <w:rPr>
          <w:rFonts w:cs="Times New Roman"/>
          <w:szCs w:val="24"/>
        </w:rPr>
      </w:pPr>
      <w:r>
        <w:rPr>
          <w:rFonts w:cs="Times New Roman"/>
          <w:szCs w:val="24"/>
        </w:rPr>
        <w:t xml:space="preserve">As “tumultuous” is not defined </w:t>
      </w:r>
      <w:r w:rsidR="00D778CD">
        <w:rPr>
          <w:rFonts w:cs="Times New Roman"/>
          <w:szCs w:val="24"/>
        </w:rPr>
        <w:t>in</w:t>
      </w:r>
      <w:r>
        <w:rPr>
          <w:rFonts w:cs="Times New Roman"/>
          <w:szCs w:val="24"/>
        </w:rPr>
        <w:t xml:space="preserve"> the statute, the </w:t>
      </w:r>
      <w:proofErr w:type="spellStart"/>
      <w:r w:rsidR="007F6DC7">
        <w:rPr>
          <w:rFonts w:cs="Times New Roman"/>
          <w:i/>
          <w:szCs w:val="24"/>
        </w:rPr>
        <w:t>Finneman</w:t>
      </w:r>
      <w:proofErr w:type="spellEnd"/>
      <w:r w:rsidR="007F6DC7">
        <w:rPr>
          <w:rFonts w:cs="Times New Roman"/>
          <w:szCs w:val="24"/>
        </w:rPr>
        <w:t xml:space="preserve"> Court examined</w:t>
      </w:r>
      <w:r>
        <w:rPr>
          <w:rFonts w:cs="Times New Roman"/>
          <w:szCs w:val="24"/>
        </w:rPr>
        <w:t xml:space="preserve"> the Webster’s New Collegiate Dictionary definition </w:t>
      </w:r>
      <w:r w:rsidR="007F6DC7">
        <w:rPr>
          <w:rFonts w:cs="Times New Roman"/>
          <w:szCs w:val="24"/>
        </w:rPr>
        <w:t xml:space="preserve">of this term </w:t>
      </w:r>
      <w:r>
        <w:rPr>
          <w:rFonts w:cs="Times New Roman"/>
          <w:szCs w:val="24"/>
        </w:rPr>
        <w:t>as it appeared in 1978, the year N.J.S. 2C:33-2 was enacted</w:t>
      </w:r>
      <w:r w:rsidR="00D778CD">
        <w:rPr>
          <w:rFonts w:cs="Times New Roman"/>
          <w:szCs w:val="24"/>
        </w:rPr>
        <w:t>.</w:t>
      </w:r>
      <w:r>
        <w:rPr>
          <w:rStyle w:val="FootnoteReference"/>
          <w:rFonts w:cs="Times New Roman"/>
          <w:szCs w:val="24"/>
        </w:rPr>
        <w:footnoteReference w:id="21"/>
      </w:r>
      <w:r w:rsidR="007F6DC7">
        <w:rPr>
          <w:rFonts w:cs="Times New Roman"/>
          <w:szCs w:val="24"/>
        </w:rPr>
        <w:t xml:space="preserve"> </w:t>
      </w:r>
      <w:r w:rsidR="00F764F1">
        <w:rPr>
          <w:rFonts w:cs="Times New Roman"/>
          <w:szCs w:val="24"/>
        </w:rPr>
        <w:t>At the time, “tumultuous” was defined as “marked by tumult,” “tending or disposed or cause to excite a tumult,” and “marked by violent or overwhelming turbulence or upheaval.”</w:t>
      </w:r>
      <w:r w:rsidR="00F764F1">
        <w:rPr>
          <w:rStyle w:val="FootnoteReference"/>
          <w:rFonts w:cs="Times New Roman"/>
          <w:szCs w:val="24"/>
        </w:rPr>
        <w:footnoteReference w:id="22"/>
      </w:r>
      <w:r>
        <w:rPr>
          <w:rFonts w:cs="Times New Roman"/>
          <w:szCs w:val="24"/>
        </w:rPr>
        <w:t xml:space="preserve"> </w:t>
      </w:r>
      <w:r w:rsidR="005D2304">
        <w:rPr>
          <w:rFonts w:cs="Times New Roman"/>
          <w:szCs w:val="24"/>
        </w:rPr>
        <w:t xml:space="preserve">The Court then turned its attention to the limited case law in this area </w:t>
      </w:r>
      <w:r w:rsidR="00402A54">
        <w:rPr>
          <w:rFonts w:cs="Times New Roman"/>
          <w:szCs w:val="24"/>
        </w:rPr>
        <w:t xml:space="preserve">to find a definition for the word </w:t>
      </w:r>
      <w:r w:rsidR="005D2304">
        <w:rPr>
          <w:rFonts w:cs="Times New Roman"/>
          <w:szCs w:val="24"/>
        </w:rPr>
        <w:t>“tumultuous.”</w:t>
      </w:r>
    </w:p>
    <w:p w14:paraId="257CCE54" w14:textId="2D43B3BB" w:rsidR="00C027EA" w:rsidRDefault="009C2A33" w:rsidP="005D2304">
      <w:pPr>
        <w:ind w:firstLine="720"/>
        <w:jc w:val="both"/>
        <w:rPr>
          <w:rFonts w:cs="Times New Roman"/>
          <w:szCs w:val="24"/>
        </w:rPr>
      </w:pPr>
      <w:r>
        <w:rPr>
          <w:rFonts w:cs="Times New Roman"/>
          <w:szCs w:val="24"/>
        </w:rPr>
        <w:lastRenderedPageBreak/>
        <w:t>In</w:t>
      </w:r>
      <w:r w:rsidR="00213CD1">
        <w:rPr>
          <w:rFonts w:cs="Times New Roman"/>
          <w:szCs w:val="24"/>
        </w:rPr>
        <w:t xml:space="preserve"> the context of examining the municipal ordinances affecting the rental of summer properties, the </w:t>
      </w:r>
      <w:r w:rsidR="00402A54">
        <w:rPr>
          <w:rFonts w:cs="Times New Roman"/>
          <w:szCs w:val="24"/>
        </w:rPr>
        <w:t xml:space="preserve">Appellate Division </w:t>
      </w:r>
      <w:r w:rsidR="00213CD1">
        <w:rPr>
          <w:rFonts w:cs="Times New Roman"/>
          <w:szCs w:val="24"/>
        </w:rPr>
        <w:t xml:space="preserve">in </w:t>
      </w:r>
      <w:r w:rsidR="00DB01FF">
        <w:rPr>
          <w:rFonts w:cs="Times New Roman"/>
          <w:i/>
          <w:szCs w:val="24"/>
        </w:rPr>
        <w:t>United Property Owners Association of Belmar v. Borough of Belmar</w:t>
      </w:r>
      <w:r w:rsidR="001A0506">
        <w:rPr>
          <w:rStyle w:val="FootnoteReference"/>
          <w:rFonts w:cs="Times New Roman"/>
          <w:szCs w:val="24"/>
        </w:rPr>
        <w:footnoteReference w:id="23"/>
      </w:r>
      <w:r w:rsidR="00DB01FF">
        <w:rPr>
          <w:rFonts w:cs="Times New Roman"/>
          <w:szCs w:val="24"/>
        </w:rPr>
        <w:t xml:space="preserve">, </w:t>
      </w:r>
      <w:r w:rsidR="00213CD1">
        <w:rPr>
          <w:rFonts w:cs="Times New Roman"/>
          <w:szCs w:val="24"/>
        </w:rPr>
        <w:t>had occasion</w:t>
      </w:r>
      <w:r w:rsidR="001A0506">
        <w:rPr>
          <w:rFonts w:cs="Times New Roman"/>
          <w:szCs w:val="24"/>
        </w:rPr>
        <w:t xml:space="preserve"> to pass upon the term tumult. The Court determined that, “[a]</w:t>
      </w:r>
      <w:proofErr w:type="spellStart"/>
      <w:r w:rsidR="001A0506">
        <w:rPr>
          <w:rFonts w:cs="Times New Roman"/>
          <w:szCs w:val="24"/>
        </w:rPr>
        <w:t>lthough</w:t>
      </w:r>
      <w:proofErr w:type="spellEnd"/>
      <w:r w:rsidR="001A0506">
        <w:rPr>
          <w:rFonts w:cs="Times New Roman"/>
          <w:szCs w:val="24"/>
        </w:rPr>
        <w:t xml:space="preserve"> excessive noise does not qualify</w:t>
      </w:r>
      <w:r w:rsidR="00402A54">
        <w:rPr>
          <w:rFonts w:cs="Times New Roman"/>
          <w:szCs w:val="24"/>
        </w:rPr>
        <w:t xml:space="preserve"> as disorderly conduct under N.J.S.A. 2C:33-2b, unless it consists of </w:t>
      </w:r>
      <w:r w:rsidR="00452C8E">
        <w:rPr>
          <w:rFonts w:cs="Times New Roman"/>
          <w:szCs w:val="24"/>
        </w:rPr>
        <w:t>coarse</w:t>
      </w:r>
      <w:r w:rsidR="00402A54">
        <w:rPr>
          <w:rFonts w:cs="Times New Roman"/>
          <w:szCs w:val="24"/>
        </w:rPr>
        <w:t xml:space="preserve"> or abusive language, it falls within the rubric of tumultuous.”</w:t>
      </w:r>
      <w:r w:rsidR="00402A54">
        <w:rPr>
          <w:rStyle w:val="FootnoteReference"/>
          <w:rFonts w:cs="Times New Roman"/>
          <w:szCs w:val="24"/>
        </w:rPr>
        <w:footnoteReference w:id="24"/>
      </w:r>
      <w:r w:rsidR="00402A54">
        <w:rPr>
          <w:rFonts w:cs="Times New Roman"/>
          <w:szCs w:val="24"/>
        </w:rPr>
        <w:t xml:space="preserve"> The Court went on to define tumult </w:t>
      </w:r>
      <w:r w:rsidR="00955379">
        <w:rPr>
          <w:rFonts w:cs="Times New Roman"/>
          <w:szCs w:val="24"/>
        </w:rPr>
        <w:t>as “…either “uproar” or “violent agitation of mind or feelings.”</w:t>
      </w:r>
      <w:r w:rsidR="00955379">
        <w:rPr>
          <w:rStyle w:val="FootnoteReference"/>
          <w:rFonts w:cs="Times New Roman"/>
          <w:szCs w:val="24"/>
        </w:rPr>
        <w:footnoteReference w:id="25"/>
      </w:r>
      <w:r w:rsidR="00955379">
        <w:rPr>
          <w:rFonts w:cs="Times New Roman"/>
          <w:szCs w:val="24"/>
        </w:rPr>
        <w:t xml:space="preserve"> The court went on to find that “[e]</w:t>
      </w:r>
      <w:proofErr w:type="spellStart"/>
      <w:r w:rsidR="00955379">
        <w:rPr>
          <w:rFonts w:cs="Times New Roman"/>
          <w:szCs w:val="24"/>
        </w:rPr>
        <w:t>xcessive</w:t>
      </w:r>
      <w:proofErr w:type="spellEnd"/>
      <w:r w:rsidR="00955379">
        <w:rPr>
          <w:rFonts w:cs="Times New Roman"/>
          <w:szCs w:val="24"/>
        </w:rPr>
        <w:t xml:space="preserve"> noise could qualify as an uproar or a violent agitation to the victim.”</w:t>
      </w:r>
      <w:r w:rsidR="00955379">
        <w:rPr>
          <w:rStyle w:val="FootnoteReference"/>
          <w:rFonts w:cs="Times New Roman"/>
          <w:szCs w:val="24"/>
        </w:rPr>
        <w:footnoteReference w:id="26"/>
      </w:r>
      <w:r w:rsidR="00AB1C29">
        <w:rPr>
          <w:rFonts w:cs="Times New Roman"/>
          <w:szCs w:val="24"/>
        </w:rPr>
        <w:t xml:space="preserve"> As presently cast, N.J.S. 2C:33-2 does not include statutory language pertaining to excessive or unreasonable noises.</w:t>
      </w:r>
    </w:p>
    <w:p w14:paraId="711E952E" w14:textId="17DD001C" w:rsidR="00616658" w:rsidRDefault="00094B63" w:rsidP="005D2304">
      <w:pPr>
        <w:ind w:firstLine="720"/>
        <w:jc w:val="both"/>
        <w:rPr>
          <w:rFonts w:cs="Times New Roman"/>
          <w:szCs w:val="24"/>
        </w:rPr>
      </w:pPr>
      <w:r>
        <w:rPr>
          <w:rFonts w:cs="Times New Roman"/>
          <w:szCs w:val="24"/>
        </w:rPr>
        <w:t>The Criminal Law Revision Commission included “unreasonable noise” in its definition of disorderly conduct.</w:t>
      </w:r>
      <w:r>
        <w:rPr>
          <w:rStyle w:val="FootnoteReference"/>
          <w:rFonts w:cs="Times New Roman"/>
          <w:szCs w:val="24"/>
        </w:rPr>
        <w:footnoteReference w:id="27"/>
      </w:r>
      <w:r>
        <w:rPr>
          <w:rFonts w:cs="Times New Roman"/>
          <w:szCs w:val="24"/>
        </w:rPr>
        <w:t xml:space="preserve"> The term “unreasonable noise” was coupled with </w:t>
      </w:r>
      <w:r w:rsidR="001A5651">
        <w:rPr>
          <w:rFonts w:cs="Times New Roman"/>
          <w:szCs w:val="24"/>
        </w:rPr>
        <w:t xml:space="preserve">“offensively </w:t>
      </w:r>
      <w:r w:rsidR="00452C8E">
        <w:rPr>
          <w:rFonts w:cs="Times New Roman"/>
          <w:szCs w:val="24"/>
        </w:rPr>
        <w:t>coarse</w:t>
      </w:r>
      <w:r w:rsidR="001A5651">
        <w:rPr>
          <w:rFonts w:cs="Times New Roman"/>
          <w:szCs w:val="24"/>
        </w:rPr>
        <w:t xml:space="preserve"> utterance.” This term</w:t>
      </w:r>
      <w:r w:rsidR="003973DA">
        <w:rPr>
          <w:rFonts w:cs="Times New Roman"/>
          <w:szCs w:val="24"/>
        </w:rPr>
        <w:t xml:space="preserve">, however, </w:t>
      </w:r>
      <w:r w:rsidR="001A5651">
        <w:rPr>
          <w:rFonts w:cs="Times New Roman"/>
          <w:szCs w:val="24"/>
        </w:rPr>
        <w:t xml:space="preserve">was lost when the </w:t>
      </w:r>
      <w:r w:rsidR="003973DA">
        <w:rPr>
          <w:rFonts w:cs="Times New Roman"/>
          <w:szCs w:val="24"/>
        </w:rPr>
        <w:t xml:space="preserve">New Jersey </w:t>
      </w:r>
      <w:r w:rsidR="001A5651">
        <w:rPr>
          <w:rFonts w:cs="Times New Roman"/>
          <w:szCs w:val="24"/>
        </w:rPr>
        <w:t>Legislature re</w:t>
      </w:r>
      <w:r w:rsidR="00F83DD2">
        <w:rPr>
          <w:rFonts w:cs="Times New Roman"/>
          <w:szCs w:val="24"/>
        </w:rPr>
        <w:t>drafted</w:t>
      </w:r>
      <w:r w:rsidR="001A5651">
        <w:rPr>
          <w:rFonts w:cs="Times New Roman"/>
          <w:szCs w:val="24"/>
        </w:rPr>
        <w:t xml:space="preserve"> the provision </w:t>
      </w:r>
      <w:r w:rsidR="00F83DD2">
        <w:rPr>
          <w:rFonts w:cs="Times New Roman"/>
          <w:szCs w:val="24"/>
        </w:rPr>
        <w:t xml:space="preserve">entitled </w:t>
      </w:r>
      <w:r w:rsidR="001A5651">
        <w:rPr>
          <w:rFonts w:cs="Times New Roman"/>
          <w:szCs w:val="24"/>
        </w:rPr>
        <w:t xml:space="preserve">“offensive language.” </w:t>
      </w:r>
    </w:p>
    <w:p w14:paraId="69549F91" w14:textId="305D4CA6" w:rsidR="00616658" w:rsidRDefault="00616658" w:rsidP="005D2304">
      <w:pPr>
        <w:ind w:firstLine="720"/>
        <w:jc w:val="both"/>
        <w:rPr>
          <w:rFonts w:cs="Times New Roman"/>
          <w:szCs w:val="24"/>
        </w:rPr>
      </w:pPr>
      <w:r>
        <w:rPr>
          <w:rFonts w:cs="Times New Roman"/>
          <w:szCs w:val="24"/>
        </w:rPr>
        <w:t xml:space="preserve">Inherently, the category of offense defined by this statute raises some problems. While it is appropriate to forbid breaches of the peace that </w:t>
      </w:r>
      <w:r w:rsidR="00F83DD2">
        <w:rPr>
          <w:rFonts w:cs="Times New Roman"/>
          <w:szCs w:val="24"/>
        </w:rPr>
        <w:t>affect</w:t>
      </w:r>
      <w:r>
        <w:rPr>
          <w:rFonts w:cs="Times New Roman"/>
          <w:szCs w:val="24"/>
        </w:rPr>
        <w:t xml:space="preserve"> the rights of others, if drawn too broadly the statute may be used to forbid conduct that should otherwise be tolerated. These problems will likely be exacerbated by the inclusion of a noise provision. The use of the word “annoyance” in the phrase, “pubic inconvenience, annoyance or alarm”</w:t>
      </w:r>
      <w:r w:rsidR="006D7040">
        <w:rPr>
          <w:rFonts w:cs="Times New Roman"/>
          <w:szCs w:val="24"/>
        </w:rPr>
        <w:t xml:space="preserve"> may have the unintended consequence of criminalizing a </w:t>
      </w:r>
      <w:r w:rsidR="00F83DD2">
        <w:rPr>
          <w:rFonts w:cs="Times New Roman"/>
          <w:szCs w:val="24"/>
        </w:rPr>
        <w:t>wide range</w:t>
      </w:r>
      <w:r w:rsidR="006D7040">
        <w:rPr>
          <w:rFonts w:cs="Times New Roman"/>
          <w:szCs w:val="24"/>
        </w:rPr>
        <w:t xml:space="preserve"> of legitimate behavior. </w:t>
      </w:r>
      <w:r w:rsidR="001C66A9">
        <w:rPr>
          <w:rFonts w:cs="Times New Roman"/>
          <w:szCs w:val="24"/>
        </w:rPr>
        <w:t>Arguably, t</w:t>
      </w:r>
      <w:r w:rsidR="006D7040">
        <w:rPr>
          <w:rFonts w:cs="Times New Roman"/>
          <w:szCs w:val="24"/>
        </w:rPr>
        <w:t xml:space="preserve">he word does not add anything to “public inconvenience or alarm.”  </w:t>
      </w:r>
    </w:p>
    <w:p w14:paraId="56EEBB7D" w14:textId="02554944" w:rsidR="006421CE" w:rsidRDefault="006421CE" w:rsidP="005D2304">
      <w:pPr>
        <w:ind w:firstLine="720"/>
        <w:jc w:val="both"/>
        <w:rPr>
          <w:rFonts w:cs="Times New Roman"/>
          <w:szCs w:val="24"/>
        </w:rPr>
      </w:pPr>
      <w:r>
        <w:rPr>
          <w:rFonts w:cs="Times New Roman"/>
          <w:szCs w:val="24"/>
        </w:rPr>
        <w:t xml:space="preserve">The word “inconvenience” is also susceptible to overly broad interpretation. </w:t>
      </w:r>
      <w:r w:rsidR="0094780D">
        <w:rPr>
          <w:rFonts w:cs="Times New Roman"/>
          <w:szCs w:val="24"/>
        </w:rPr>
        <w:t>To limit the meaning of the term some jurisdictions have added the word “physical” before the word “inconvenience.”</w:t>
      </w:r>
      <w:r w:rsidR="0094780D">
        <w:rPr>
          <w:rStyle w:val="FootnoteReference"/>
          <w:rFonts w:cs="Times New Roman"/>
          <w:szCs w:val="24"/>
        </w:rPr>
        <w:footnoteReference w:id="28"/>
      </w:r>
      <w:r w:rsidR="0094780D">
        <w:rPr>
          <w:rFonts w:cs="Times New Roman"/>
          <w:szCs w:val="24"/>
        </w:rPr>
        <w:t xml:space="preserve"> While the word “alarm” alone may be too narrow, the inclusion of the phrase “physical inconvenience” provides sufficient statutory protection without the subjectivity of “annoyance” or the vagueness of “inconvenience” when used alone. </w:t>
      </w:r>
    </w:p>
    <w:p w14:paraId="273E879F" w14:textId="026BCA9F" w:rsidR="0094780D" w:rsidRDefault="0094780D" w:rsidP="0094780D">
      <w:pPr>
        <w:ind w:firstLine="720"/>
        <w:jc w:val="both"/>
        <w:rPr>
          <w:rFonts w:cs="Times New Roman"/>
          <w:szCs w:val="24"/>
        </w:rPr>
      </w:pPr>
      <w:r>
        <w:rPr>
          <w:rFonts w:cs="Times New Roman"/>
          <w:szCs w:val="24"/>
        </w:rPr>
        <w:t xml:space="preserve">To the extent that this omission of the term “unreasonable noise” from New Jersey’s body of statutes was inadvertent, rather than intentional, the disorderly conduct statute could be amended </w:t>
      </w:r>
      <w:r w:rsidR="00B2448D">
        <w:rPr>
          <w:rFonts w:cs="Times New Roman"/>
          <w:szCs w:val="24"/>
        </w:rPr>
        <w:t xml:space="preserve">to </w:t>
      </w:r>
      <w:r>
        <w:rPr>
          <w:rFonts w:cs="Times New Roman"/>
          <w:szCs w:val="24"/>
        </w:rPr>
        <w:t>have the term “unreasonable noise” replace the term “tumultuous” to eliminate any future confusion concerning the term tumultuous.</w:t>
      </w:r>
      <w:r>
        <w:rPr>
          <w:rStyle w:val="FootnoteReference"/>
          <w:rFonts w:cs="Times New Roman"/>
          <w:szCs w:val="24"/>
        </w:rPr>
        <w:footnoteReference w:id="29"/>
      </w:r>
      <w:r>
        <w:rPr>
          <w:rFonts w:cs="Times New Roman"/>
          <w:szCs w:val="24"/>
        </w:rPr>
        <w:t xml:space="preserve">  </w:t>
      </w:r>
    </w:p>
    <w:p w14:paraId="79514065" w14:textId="77777777" w:rsidR="009E64DB" w:rsidRDefault="00DE5F6A" w:rsidP="005D2304">
      <w:pPr>
        <w:ind w:firstLine="720"/>
        <w:jc w:val="both"/>
        <w:rPr>
          <w:rFonts w:cs="Times New Roman"/>
          <w:i/>
          <w:szCs w:val="24"/>
        </w:rPr>
      </w:pPr>
      <w:r>
        <w:rPr>
          <w:rFonts w:cs="Times New Roman"/>
          <w:szCs w:val="24"/>
        </w:rPr>
        <w:lastRenderedPageBreak/>
        <w:t xml:space="preserve">• </w:t>
      </w:r>
      <w:r w:rsidR="0094780D" w:rsidRPr="00DE5F6A">
        <w:rPr>
          <w:rFonts w:cs="Times New Roman"/>
          <w:i/>
          <w:szCs w:val="24"/>
        </w:rPr>
        <w:t>50 State Survey</w:t>
      </w:r>
      <w:r w:rsidR="00B9672A">
        <w:rPr>
          <w:rFonts w:cs="Times New Roman"/>
          <w:i/>
          <w:szCs w:val="24"/>
        </w:rPr>
        <w:t xml:space="preserve"> of “Tumultuous”</w:t>
      </w:r>
      <w:r w:rsidR="00B9672A" w:rsidRPr="00EC1AAB">
        <w:rPr>
          <w:rStyle w:val="FootnoteReference"/>
          <w:rFonts w:cs="Times New Roman"/>
          <w:szCs w:val="24"/>
        </w:rPr>
        <w:footnoteReference w:id="30"/>
      </w:r>
    </w:p>
    <w:p w14:paraId="641225BC" w14:textId="370753FF" w:rsidR="0094780D" w:rsidRDefault="00695ADC" w:rsidP="005D2304">
      <w:pPr>
        <w:ind w:firstLine="720"/>
        <w:jc w:val="both"/>
        <w:rPr>
          <w:rFonts w:cs="Times New Roman"/>
          <w:szCs w:val="24"/>
        </w:rPr>
      </w:pPr>
      <w:r>
        <w:rPr>
          <w:rFonts w:cs="Times New Roman"/>
          <w:szCs w:val="24"/>
        </w:rPr>
        <w:t xml:space="preserve">New Jersey is not the only </w:t>
      </w:r>
      <w:r w:rsidR="00F93F1D">
        <w:rPr>
          <w:rFonts w:cs="Times New Roman"/>
          <w:szCs w:val="24"/>
        </w:rPr>
        <w:t>s</w:t>
      </w:r>
      <w:r>
        <w:rPr>
          <w:rFonts w:cs="Times New Roman"/>
          <w:szCs w:val="24"/>
        </w:rPr>
        <w:t xml:space="preserve">tate in the </w:t>
      </w:r>
      <w:r w:rsidR="00F93F1D">
        <w:rPr>
          <w:rFonts w:cs="Times New Roman"/>
          <w:szCs w:val="24"/>
        </w:rPr>
        <w:t>c</w:t>
      </w:r>
      <w:r>
        <w:rPr>
          <w:rFonts w:cs="Times New Roman"/>
          <w:szCs w:val="24"/>
        </w:rPr>
        <w:t>ountry to use the term “tumultuous” in its criminal statutes</w:t>
      </w:r>
      <w:r w:rsidR="00725E97">
        <w:rPr>
          <w:rFonts w:cs="Times New Roman"/>
          <w:szCs w:val="24"/>
        </w:rPr>
        <w:t>;</w:t>
      </w:r>
      <w:r w:rsidR="00D83140">
        <w:rPr>
          <w:rFonts w:cs="Times New Roman"/>
          <w:szCs w:val="24"/>
        </w:rPr>
        <w:t xml:space="preserve"> rather</w:t>
      </w:r>
      <w:r w:rsidR="00725E97">
        <w:rPr>
          <w:rFonts w:cs="Times New Roman"/>
          <w:szCs w:val="24"/>
        </w:rPr>
        <w:t>,</w:t>
      </w:r>
      <w:r w:rsidR="00D83140">
        <w:rPr>
          <w:rFonts w:cs="Times New Roman"/>
          <w:szCs w:val="24"/>
        </w:rPr>
        <w:t xml:space="preserve"> </w:t>
      </w:r>
      <w:r w:rsidR="00725E97">
        <w:rPr>
          <w:rFonts w:cs="Times New Roman"/>
          <w:szCs w:val="24"/>
        </w:rPr>
        <w:t xml:space="preserve">it is </w:t>
      </w:r>
      <w:r>
        <w:rPr>
          <w:rFonts w:cs="Times New Roman"/>
          <w:szCs w:val="24"/>
        </w:rPr>
        <w:t xml:space="preserve">one of </w:t>
      </w:r>
      <w:r w:rsidR="00D83140">
        <w:rPr>
          <w:rFonts w:cs="Times New Roman"/>
          <w:szCs w:val="24"/>
        </w:rPr>
        <w:t>24</w:t>
      </w:r>
      <w:r>
        <w:rPr>
          <w:rFonts w:cs="Times New Roman"/>
          <w:szCs w:val="24"/>
        </w:rPr>
        <w:t xml:space="preserve"> states that use the term tumultuous in its body of law.</w:t>
      </w:r>
      <w:r w:rsidR="00E7239C">
        <w:rPr>
          <w:rStyle w:val="FootnoteReference"/>
          <w:rFonts w:cs="Times New Roman"/>
          <w:szCs w:val="24"/>
        </w:rPr>
        <w:footnoteReference w:id="31"/>
      </w:r>
      <w:r w:rsidR="00E7239C">
        <w:rPr>
          <w:rFonts w:cs="Times New Roman"/>
          <w:szCs w:val="24"/>
        </w:rPr>
        <w:t xml:space="preserve"> The majority of states, however, do not use the term “tumultuous” in their disorderly conduct statutes.</w:t>
      </w:r>
      <w:r w:rsidR="00E7239C">
        <w:rPr>
          <w:rStyle w:val="FootnoteReference"/>
          <w:rFonts w:cs="Times New Roman"/>
          <w:szCs w:val="24"/>
        </w:rPr>
        <w:footnoteReference w:id="32"/>
      </w:r>
      <w:r w:rsidR="009546AE">
        <w:rPr>
          <w:rFonts w:cs="Times New Roman"/>
          <w:szCs w:val="24"/>
        </w:rPr>
        <w:t xml:space="preserve"> After a review of each state’s disorderly conduct statute</w:t>
      </w:r>
      <w:r w:rsidR="0023287B">
        <w:rPr>
          <w:rFonts w:cs="Times New Roman"/>
          <w:szCs w:val="24"/>
        </w:rPr>
        <w:t>,</w:t>
      </w:r>
      <w:r w:rsidR="009546AE">
        <w:rPr>
          <w:rFonts w:cs="Times New Roman"/>
          <w:szCs w:val="24"/>
        </w:rPr>
        <w:t xml:space="preserve"> three solutions present themselves </w:t>
      </w:r>
      <w:r w:rsidR="0023287B">
        <w:rPr>
          <w:rFonts w:cs="Times New Roman"/>
          <w:szCs w:val="24"/>
        </w:rPr>
        <w:t xml:space="preserve">for consideration in </w:t>
      </w:r>
      <w:r w:rsidR="009546AE">
        <w:rPr>
          <w:rFonts w:cs="Times New Roman"/>
          <w:szCs w:val="24"/>
        </w:rPr>
        <w:t>clarify</w:t>
      </w:r>
      <w:r w:rsidR="0023287B">
        <w:rPr>
          <w:rFonts w:cs="Times New Roman"/>
          <w:szCs w:val="24"/>
        </w:rPr>
        <w:t>ing</w:t>
      </w:r>
      <w:r w:rsidR="009546AE">
        <w:rPr>
          <w:rFonts w:cs="Times New Roman"/>
          <w:szCs w:val="24"/>
        </w:rPr>
        <w:t xml:space="preserve"> New Jersey’</w:t>
      </w:r>
      <w:r w:rsidR="00213737">
        <w:rPr>
          <w:rFonts w:cs="Times New Roman"/>
          <w:szCs w:val="24"/>
        </w:rPr>
        <w:t>s statute on this subject.</w:t>
      </w:r>
    </w:p>
    <w:p w14:paraId="1A1B6595" w14:textId="23343978" w:rsidR="00E0277B" w:rsidRPr="0002377B" w:rsidRDefault="00E0277B" w:rsidP="00E0277B">
      <w:pPr>
        <w:ind w:firstLine="1080"/>
        <w:jc w:val="both"/>
        <w:rPr>
          <w:rFonts w:cs="Times New Roman"/>
          <w:b/>
          <w:szCs w:val="24"/>
        </w:rPr>
      </w:pPr>
      <w:r w:rsidRPr="0002377B">
        <w:rPr>
          <w:rFonts w:cs="Times New Roman"/>
          <w:b/>
          <w:szCs w:val="24"/>
        </w:rPr>
        <w:t>Fig. 1.</w:t>
      </w:r>
    </w:p>
    <w:p w14:paraId="1E77EBB8" w14:textId="4C77F3A3" w:rsidR="00DE5F6A" w:rsidRDefault="00E0277B" w:rsidP="00E0277B">
      <w:pPr>
        <w:ind w:left="1080"/>
        <w:jc w:val="both"/>
        <w:rPr>
          <w:rFonts w:cs="Times New Roman"/>
          <w:szCs w:val="24"/>
        </w:rPr>
      </w:pPr>
      <w:r>
        <w:rPr>
          <w:noProof/>
        </w:rPr>
        <w:drawing>
          <wp:inline distT="0" distB="0" distL="0" distR="0" wp14:anchorId="30CA8C7B" wp14:editId="6C2D8BC7">
            <wp:extent cx="4229100" cy="301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1475" cy="3021121"/>
                    </a:xfrm>
                    <a:prstGeom prst="rect">
                      <a:avLst/>
                    </a:prstGeom>
                  </pic:spPr>
                </pic:pic>
              </a:graphicData>
            </a:graphic>
          </wp:inline>
        </w:drawing>
      </w:r>
    </w:p>
    <w:p w14:paraId="1D95A367" w14:textId="1B003224" w:rsidR="0059044D" w:rsidRDefault="00213737" w:rsidP="00C05BB6">
      <w:pPr>
        <w:jc w:val="both"/>
        <w:rPr>
          <w:rFonts w:cs="Times New Roman"/>
          <w:szCs w:val="24"/>
        </w:rPr>
      </w:pPr>
      <w:r>
        <w:rPr>
          <w:rFonts w:cs="Times New Roman"/>
          <w:szCs w:val="24"/>
        </w:rPr>
        <w:lastRenderedPageBreak/>
        <w:tab/>
        <w:t>The first solution involves eliminating the term from the statute.</w:t>
      </w:r>
      <w:r>
        <w:rPr>
          <w:rStyle w:val="FootnoteReference"/>
          <w:rFonts w:cs="Times New Roman"/>
          <w:szCs w:val="24"/>
        </w:rPr>
        <w:footnoteReference w:id="33"/>
      </w:r>
      <w:r w:rsidR="00BE4CAF">
        <w:rPr>
          <w:rFonts w:cs="Times New Roman"/>
          <w:szCs w:val="24"/>
        </w:rPr>
        <w:t xml:space="preserve"> The second, option provides for the elimination of the word “tumultuous” and </w:t>
      </w:r>
      <w:r w:rsidR="0059044D">
        <w:rPr>
          <w:rFonts w:cs="Times New Roman"/>
          <w:szCs w:val="24"/>
        </w:rPr>
        <w:t>substitution of</w:t>
      </w:r>
      <w:r w:rsidR="00BE4CAF">
        <w:rPr>
          <w:rFonts w:cs="Times New Roman"/>
          <w:szCs w:val="24"/>
        </w:rPr>
        <w:t xml:space="preserve"> the </w:t>
      </w:r>
      <w:r w:rsidR="0059044D">
        <w:rPr>
          <w:rFonts w:cs="Times New Roman"/>
          <w:szCs w:val="24"/>
        </w:rPr>
        <w:t>phrase</w:t>
      </w:r>
      <w:r w:rsidR="00BE4CAF">
        <w:rPr>
          <w:rFonts w:cs="Times New Roman"/>
          <w:szCs w:val="24"/>
        </w:rPr>
        <w:t xml:space="preserve"> “creates excessive or unreasonable noise.”</w:t>
      </w:r>
      <w:r w:rsidR="00BE4CAF">
        <w:rPr>
          <w:rStyle w:val="FootnoteReference"/>
          <w:rFonts w:cs="Times New Roman"/>
          <w:szCs w:val="24"/>
        </w:rPr>
        <w:footnoteReference w:id="34"/>
      </w:r>
      <w:r w:rsidR="00BE4CAF">
        <w:rPr>
          <w:rFonts w:cs="Times New Roman"/>
          <w:szCs w:val="24"/>
        </w:rPr>
        <w:t xml:space="preserve"> </w:t>
      </w:r>
      <w:r w:rsidR="0059044D">
        <w:rPr>
          <w:rFonts w:cs="Times New Roman"/>
          <w:szCs w:val="24"/>
        </w:rPr>
        <w:t xml:space="preserve">The final modification would be to define the term </w:t>
      </w:r>
      <w:r w:rsidR="00BE4CAF">
        <w:rPr>
          <w:rFonts w:cs="Times New Roman"/>
          <w:szCs w:val="24"/>
        </w:rPr>
        <w:t>“tumultuous</w:t>
      </w:r>
      <w:r w:rsidR="0059044D">
        <w:rPr>
          <w:rFonts w:cs="Times New Roman"/>
          <w:szCs w:val="24"/>
        </w:rPr>
        <w:t>.</w:t>
      </w:r>
      <w:r w:rsidR="00BE4CAF">
        <w:rPr>
          <w:rFonts w:cs="Times New Roman"/>
          <w:szCs w:val="24"/>
        </w:rPr>
        <w:t>”</w:t>
      </w:r>
      <w:r w:rsidR="0002377B">
        <w:rPr>
          <w:rStyle w:val="FootnoteReference"/>
          <w:rFonts w:cs="Times New Roman"/>
          <w:szCs w:val="24"/>
        </w:rPr>
        <w:footnoteReference w:id="35"/>
      </w:r>
      <w:r w:rsidR="00BE4CAF">
        <w:rPr>
          <w:rFonts w:cs="Times New Roman"/>
          <w:szCs w:val="24"/>
        </w:rPr>
        <w:t xml:space="preserve"> </w:t>
      </w:r>
    </w:p>
    <w:p w14:paraId="5752030E" w14:textId="1CB2F4ED" w:rsidR="006421CE" w:rsidRDefault="00BE4CAF" w:rsidP="0059044D">
      <w:pPr>
        <w:ind w:firstLine="720"/>
        <w:jc w:val="both"/>
        <w:rPr>
          <w:rFonts w:cs="Times New Roman"/>
          <w:szCs w:val="24"/>
        </w:rPr>
      </w:pPr>
      <w:r>
        <w:rPr>
          <w:rFonts w:cs="Times New Roman"/>
          <w:szCs w:val="24"/>
        </w:rPr>
        <w:t>Presently, Indiana is the only state</w:t>
      </w:r>
      <w:r w:rsidR="00226E27">
        <w:rPr>
          <w:rFonts w:cs="Times New Roman"/>
          <w:szCs w:val="24"/>
        </w:rPr>
        <w:t xml:space="preserve"> in the country that supplies a statutory definition for the term tumultuous.</w:t>
      </w:r>
      <w:r w:rsidR="00226E27">
        <w:rPr>
          <w:rStyle w:val="FootnoteReference"/>
          <w:rFonts w:cs="Times New Roman"/>
          <w:szCs w:val="24"/>
        </w:rPr>
        <w:footnoteReference w:id="36"/>
      </w:r>
      <w:r w:rsidR="0059044D">
        <w:rPr>
          <w:rFonts w:cs="Times New Roman"/>
          <w:szCs w:val="24"/>
        </w:rPr>
        <w:t xml:space="preserve"> </w:t>
      </w:r>
      <w:r w:rsidR="005C21B7">
        <w:rPr>
          <w:rFonts w:cs="Times New Roman"/>
          <w:szCs w:val="24"/>
        </w:rPr>
        <w:t xml:space="preserve">Indiana’s criminal law and procedure are found in </w:t>
      </w:r>
      <w:r w:rsidR="00082E63">
        <w:rPr>
          <w:rFonts w:cs="Times New Roman"/>
          <w:szCs w:val="24"/>
        </w:rPr>
        <w:t xml:space="preserve">Title 35 of the </w:t>
      </w:r>
      <w:r w:rsidR="0005155E">
        <w:rPr>
          <w:rFonts w:cs="Times New Roman"/>
          <w:szCs w:val="24"/>
        </w:rPr>
        <w:t xml:space="preserve">Indiana </w:t>
      </w:r>
      <w:r w:rsidR="00082E63">
        <w:rPr>
          <w:rFonts w:cs="Times New Roman"/>
          <w:szCs w:val="24"/>
        </w:rPr>
        <w:t>Code</w:t>
      </w:r>
      <w:r w:rsidR="004C60B2">
        <w:rPr>
          <w:rFonts w:cs="Times New Roman"/>
          <w:szCs w:val="24"/>
        </w:rPr>
        <w:t xml:space="preserve"> (“IC” or the “Code”)</w:t>
      </w:r>
      <w:r w:rsidR="005C21B7">
        <w:rPr>
          <w:rFonts w:cs="Times New Roman"/>
          <w:szCs w:val="24"/>
        </w:rPr>
        <w:t xml:space="preserve">. The Code </w:t>
      </w:r>
      <w:r w:rsidR="0005155E">
        <w:rPr>
          <w:rFonts w:cs="Times New Roman"/>
          <w:szCs w:val="24"/>
        </w:rPr>
        <w:t xml:space="preserve">prohibits </w:t>
      </w:r>
      <w:r w:rsidR="00082E63">
        <w:rPr>
          <w:rFonts w:cs="Times New Roman"/>
          <w:szCs w:val="24"/>
        </w:rPr>
        <w:t>tumultuous conduct pursuant to IC 35-45-1</w:t>
      </w:r>
      <w:r w:rsidR="005C21B7">
        <w:rPr>
          <w:rFonts w:cs="Times New Roman"/>
          <w:szCs w:val="24"/>
        </w:rPr>
        <w:t>-3</w:t>
      </w:r>
      <w:r w:rsidR="0033017E">
        <w:rPr>
          <w:rFonts w:cs="Times New Roman"/>
          <w:szCs w:val="24"/>
        </w:rPr>
        <w:t xml:space="preserve"> </w:t>
      </w:r>
      <w:r w:rsidR="0033017E" w:rsidRPr="0033017E">
        <w:rPr>
          <w:rFonts w:cs="Times New Roman"/>
          <w:i/>
          <w:szCs w:val="24"/>
        </w:rPr>
        <w:t>et seq.</w:t>
      </w:r>
      <w:r w:rsidR="0033017E">
        <w:rPr>
          <w:rFonts w:cs="Times New Roman"/>
          <w:szCs w:val="24"/>
        </w:rPr>
        <w:t xml:space="preserve"> A person who recklessly, knowingly, or intentionally engages in fighting or in tumultuous conduct commits disorderly conduct.</w:t>
      </w:r>
      <w:r w:rsidR="0033017E">
        <w:rPr>
          <w:rStyle w:val="FootnoteReference"/>
          <w:rFonts w:cs="Times New Roman"/>
          <w:szCs w:val="24"/>
        </w:rPr>
        <w:footnoteReference w:id="37"/>
      </w:r>
      <w:r w:rsidR="00082E63">
        <w:rPr>
          <w:rFonts w:cs="Times New Roman"/>
          <w:szCs w:val="24"/>
        </w:rPr>
        <w:t xml:space="preserve"> </w:t>
      </w:r>
      <w:r w:rsidR="004C60B2">
        <w:rPr>
          <w:rFonts w:cs="Times New Roman"/>
          <w:szCs w:val="24"/>
        </w:rPr>
        <w:t xml:space="preserve">Tumultuous conduct is defined in the Code in IC 35-45-1-1. </w:t>
      </w:r>
      <w:r w:rsidR="0094503A">
        <w:rPr>
          <w:rFonts w:cs="Times New Roman"/>
          <w:szCs w:val="24"/>
        </w:rPr>
        <w:t>Tumultuous conduct, as used in this chapter, “…means conduct that results in, or is likely to result in, serious bodily injury to a person or substantial damage to property.”</w:t>
      </w:r>
      <w:r w:rsidR="0094503A">
        <w:rPr>
          <w:rStyle w:val="FootnoteReference"/>
          <w:rFonts w:cs="Times New Roman"/>
          <w:szCs w:val="24"/>
        </w:rPr>
        <w:footnoteReference w:id="38"/>
      </w:r>
      <w:r w:rsidR="0059044D">
        <w:rPr>
          <w:rFonts w:cs="Times New Roman"/>
          <w:szCs w:val="24"/>
        </w:rPr>
        <w:t xml:space="preserve"> </w:t>
      </w:r>
      <w:r w:rsidR="0071713A">
        <w:rPr>
          <w:rFonts w:cs="Times New Roman"/>
          <w:szCs w:val="24"/>
        </w:rPr>
        <w:t xml:space="preserve">The addition </w:t>
      </w:r>
      <w:r w:rsidR="005E23CB">
        <w:rPr>
          <w:rFonts w:cs="Times New Roman"/>
          <w:szCs w:val="24"/>
        </w:rPr>
        <w:t xml:space="preserve">of </w:t>
      </w:r>
      <w:r w:rsidR="0071713A">
        <w:rPr>
          <w:rFonts w:cs="Times New Roman"/>
          <w:szCs w:val="24"/>
        </w:rPr>
        <w:t xml:space="preserve">a </w:t>
      </w:r>
      <w:r w:rsidR="00701E82">
        <w:rPr>
          <w:rFonts w:cs="Times New Roman"/>
          <w:szCs w:val="24"/>
        </w:rPr>
        <w:t xml:space="preserve">modified </w:t>
      </w:r>
      <w:r w:rsidR="0071713A">
        <w:rPr>
          <w:rFonts w:cs="Times New Roman"/>
          <w:szCs w:val="24"/>
        </w:rPr>
        <w:t>definition</w:t>
      </w:r>
      <w:r w:rsidR="001261C6">
        <w:rPr>
          <w:rFonts w:cs="Times New Roman"/>
          <w:szCs w:val="24"/>
        </w:rPr>
        <w:t>,</w:t>
      </w:r>
      <w:r w:rsidR="0071713A">
        <w:rPr>
          <w:rFonts w:cs="Times New Roman"/>
          <w:szCs w:val="24"/>
        </w:rPr>
        <w:t xml:space="preserve"> such as this one</w:t>
      </w:r>
      <w:r w:rsidR="001261C6">
        <w:rPr>
          <w:rFonts w:cs="Times New Roman"/>
          <w:szCs w:val="24"/>
        </w:rPr>
        <w:t>,</w:t>
      </w:r>
      <w:r w:rsidR="0071713A">
        <w:rPr>
          <w:rFonts w:cs="Times New Roman"/>
          <w:szCs w:val="24"/>
        </w:rPr>
        <w:t xml:space="preserve"> to New Jersey’s disorderly conduct statute would eliminate any confusion regarding the </w:t>
      </w:r>
      <w:r w:rsidR="001261C6">
        <w:rPr>
          <w:rFonts w:cs="Times New Roman"/>
          <w:szCs w:val="24"/>
        </w:rPr>
        <w:t xml:space="preserve">meaning of the </w:t>
      </w:r>
      <w:r w:rsidR="0071713A">
        <w:rPr>
          <w:rFonts w:cs="Times New Roman"/>
          <w:szCs w:val="24"/>
        </w:rPr>
        <w:t>term tumultuous.</w:t>
      </w:r>
      <w:r w:rsidR="0071713A">
        <w:rPr>
          <w:rStyle w:val="FootnoteReference"/>
          <w:rFonts w:cs="Times New Roman"/>
          <w:szCs w:val="24"/>
        </w:rPr>
        <w:footnoteReference w:id="39"/>
      </w:r>
      <w:r w:rsidR="0071713A">
        <w:rPr>
          <w:rFonts w:cs="Times New Roman"/>
          <w:szCs w:val="24"/>
        </w:rPr>
        <w:t xml:space="preserve"> </w:t>
      </w:r>
    </w:p>
    <w:p w14:paraId="202DBF7C" w14:textId="4DADDEBC" w:rsidR="00701E82" w:rsidRPr="001B0946" w:rsidRDefault="00701E82" w:rsidP="00DB01FF">
      <w:pPr>
        <w:ind w:firstLine="720"/>
        <w:jc w:val="both"/>
        <w:rPr>
          <w:rFonts w:cs="Times New Roman"/>
          <w:szCs w:val="24"/>
        </w:rPr>
      </w:pPr>
      <w:r>
        <w:rPr>
          <w:rFonts w:cs="Times New Roman"/>
          <w:szCs w:val="24"/>
        </w:rPr>
        <w:t xml:space="preserve">• </w:t>
      </w:r>
      <w:r>
        <w:rPr>
          <w:rFonts w:cs="Times New Roman"/>
          <w:i/>
          <w:szCs w:val="24"/>
        </w:rPr>
        <w:t>Offensive Language</w:t>
      </w:r>
      <w:r w:rsidR="001B0946" w:rsidRPr="001B0946">
        <w:rPr>
          <w:rStyle w:val="FootnoteReference"/>
          <w:rFonts w:cs="Times New Roman"/>
          <w:szCs w:val="24"/>
        </w:rPr>
        <w:footnoteReference w:id="40"/>
      </w:r>
    </w:p>
    <w:p w14:paraId="1617ACCD" w14:textId="5B413B25" w:rsidR="00701E82" w:rsidRDefault="006504DA" w:rsidP="00DB01FF">
      <w:pPr>
        <w:ind w:firstLine="720"/>
        <w:jc w:val="both"/>
        <w:rPr>
          <w:rFonts w:cs="Times New Roman"/>
          <w:szCs w:val="24"/>
        </w:rPr>
      </w:pPr>
      <w:r>
        <w:rPr>
          <w:rFonts w:cs="Times New Roman"/>
          <w:szCs w:val="24"/>
        </w:rPr>
        <w:t xml:space="preserve">Enacted in 1978, subsection b. of </w:t>
      </w:r>
      <w:r w:rsidR="00E42365">
        <w:rPr>
          <w:rFonts w:cs="Times New Roman"/>
          <w:szCs w:val="24"/>
        </w:rPr>
        <w:t xml:space="preserve">New Jersey’s disorderly conduct statute prohibits the public use of </w:t>
      </w:r>
      <w:r w:rsidR="00452C8E">
        <w:rPr>
          <w:rFonts w:cs="Times New Roman"/>
          <w:szCs w:val="24"/>
        </w:rPr>
        <w:t>coarse</w:t>
      </w:r>
      <w:r w:rsidR="00E42365">
        <w:rPr>
          <w:rFonts w:cs="Times New Roman"/>
          <w:szCs w:val="24"/>
        </w:rPr>
        <w:t xml:space="preserve"> or abusive language that is uttered with the purpose of offending the sensibilities of a hearer, or in reckless disregard of the probability of so doing.</w:t>
      </w:r>
      <w:r w:rsidR="00E42365">
        <w:rPr>
          <w:rStyle w:val="FootnoteReference"/>
          <w:rFonts w:cs="Times New Roman"/>
          <w:szCs w:val="24"/>
        </w:rPr>
        <w:footnoteReference w:id="41"/>
      </w:r>
      <w:r w:rsidR="00E42365">
        <w:rPr>
          <w:rFonts w:cs="Times New Roman"/>
          <w:szCs w:val="24"/>
        </w:rPr>
        <w:t xml:space="preserve"> </w:t>
      </w:r>
      <w:r w:rsidR="004608E0">
        <w:rPr>
          <w:rFonts w:cs="Times New Roman"/>
          <w:szCs w:val="24"/>
        </w:rPr>
        <w:t xml:space="preserve">The </w:t>
      </w:r>
      <w:r w:rsidR="00E25725">
        <w:rPr>
          <w:rFonts w:cs="Times New Roman"/>
          <w:szCs w:val="24"/>
        </w:rPr>
        <w:t xml:space="preserve">current incarnation of New Jersey’s disorderly conduct statute </w:t>
      </w:r>
      <w:r>
        <w:rPr>
          <w:rFonts w:cs="Times New Roman"/>
          <w:szCs w:val="24"/>
        </w:rPr>
        <w:t>was enacted after the decisions of both the United States and the New Jersey Supreme Court invalidated convictions for the use of public</w:t>
      </w:r>
      <w:r w:rsidR="00E42365">
        <w:rPr>
          <w:rFonts w:cs="Times New Roman"/>
          <w:szCs w:val="24"/>
        </w:rPr>
        <w:t xml:space="preserve"> </w:t>
      </w:r>
      <w:r>
        <w:rPr>
          <w:rFonts w:cs="Times New Roman"/>
          <w:szCs w:val="24"/>
        </w:rPr>
        <w:t>and offensive language.</w:t>
      </w:r>
      <w:r>
        <w:rPr>
          <w:rStyle w:val="FootnoteReference"/>
          <w:rFonts w:cs="Times New Roman"/>
          <w:szCs w:val="24"/>
        </w:rPr>
        <w:footnoteReference w:id="42"/>
      </w:r>
      <w:r w:rsidR="004608E0">
        <w:rPr>
          <w:rFonts w:cs="Times New Roman"/>
          <w:szCs w:val="24"/>
        </w:rPr>
        <w:t xml:space="preserve"> </w:t>
      </w:r>
      <w:r w:rsidR="00837D8B">
        <w:rPr>
          <w:rFonts w:cs="Times New Roman"/>
          <w:szCs w:val="24"/>
        </w:rPr>
        <w:t>T</w:t>
      </w:r>
      <w:r w:rsidR="004608E0">
        <w:rPr>
          <w:rFonts w:cs="Times New Roman"/>
          <w:szCs w:val="24"/>
        </w:rPr>
        <w:t xml:space="preserve">he constitutionality of </w:t>
      </w:r>
      <w:r w:rsidR="00837D8B">
        <w:rPr>
          <w:rFonts w:cs="Times New Roman"/>
          <w:szCs w:val="24"/>
        </w:rPr>
        <w:t>the current</w:t>
      </w:r>
      <w:r w:rsidR="004608E0">
        <w:rPr>
          <w:rFonts w:cs="Times New Roman"/>
          <w:szCs w:val="24"/>
        </w:rPr>
        <w:t xml:space="preserve"> statute</w:t>
      </w:r>
      <w:r w:rsidR="00837D8B">
        <w:rPr>
          <w:rFonts w:cs="Times New Roman"/>
          <w:szCs w:val="24"/>
        </w:rPr>
        <w:t>, however,</w:t>
      </w:r>
      <w:r w:rsidR="004608E0">
        <w:rPr>
          <w:rFonts w:cs="Times New Roman"/>
          <w:szCs w:val="24"/>
        </w:rPr>
        <w:t xml:space="preserve"> would remain unquestioned for almost a decade.</w:t>
      </w:r>
    </w:p>
    <w:p w14:paraId="2FEB7595" w14:textId="181A24F0" w:rsidR="004608E0" w:rsidRDefault="004608E0" w:rsidP="00DB01FF">
      <w:pPr>
        <w:ind w:firstLine="720"/>
        <w:jc w:val="both"/>
        <w:rPr>
          <w:rFonts w:cs="Times New Roman"/>
          <w:szCs w:val="24"/>
        </w:rPr>
      </w:pPr>
      <w:r>
        <w:rPr>
          <w:rFonts w:cs="Times New Roman"/>
          <w:szCs w:val="24"/>
        </w:rPr>
        <w:lastRenderedPageBreak/>
        <w:t>In 1985, a juvenile was adjudicated delinquent for conduct which would cause him to be classified as a disorderly person under N.J.S. 2C:33-2(b).</w:t>
      </w:r>
      <w:r>
        <w:rPr>
          <w:rStyle w:val="FootnoteReference"/>
          <w:rFonts w:cs="Times New Roman"/>
          <w:szCs w:val="24"/>
        </w:rPr>
        <w:footnoteReference w:id="43"/>
      </w:r>
      <w:r>
        <w:rPr>
          <w:rFonts w:cs="Times New Roman"/>
          <w:szCs w:val="24"/>
        </w:rPr>
        <w:t xml:space="preserve"> The punishable conduct, according to the trial court judge, was the juvenile’s use of “…profane language, the purpose of which was to offend the officer, in effect, to exact verbal vengeance for his arrest.”</w:t>
      </w:r>
      <w:r>
        <w:rPr>
          <w:rStyle w:val="FootnoteReference"/>
          <w:rFonts w:cs="Times New Roman"/>
          <w:szCs w:val="24"/>
        </w:rPr>
        <w:footnoteReference w:id="44"/>
      </w:r>
      <w:r>
        <w:rPr>
          <w:rFonts w:cs="Times New Roman"/>
          <w:szCs w:val="24"/>
        </w:rPr>
        <w:t xml:space="preserve"> An appeal from this adjudication was perfected </w:t>
      </w:r>
      <w:r w:rsidR="001C17EC">
        <w:rPr>
          <w:rFonts w:cs="Times New Roman"/>
          <w:szCs w:val="24"/>
        </w:rPr>
        <w:t>by the juvenile.</w:t>
      </w:r>
      <w:r w:rsidR="001C17EC">
        <w:rPr>
          <w:rStyle w:val="FootnoteReference"/>
          <w:rFonts w:cs="Times New Roman"/>
          <w:szCs w:val="24"/>
        </w:rPr>
        <w:footnoteReference w:id="45"/>
      </w:r>
      <w:r w:rsidR="001C17EC">
        <w:rPr>
          <w:rFonts w:cs="Times New Roman"/>
          <w:szCs w:val="24"/>
        </w:rPr>
        <w:t xml:space="preserve"> </w:t>
      </w:r>
    </w:p>
    <w:p w14:paraId="254CE328" w14:textId="7EFAE64A" w:rsidR="00701E82" w:rsidRDefault="001C17EC" w:rsidP="00DB01FF">
      <w:pPr>
        <w:ind w:firstLine="720"/>
        <w:jc w:val="both"/>
        <w:rPr>
          <w:rFonts w:cs="Times New Roman"/>
          <w:szCs w:val="24"/>
        </w:rPr>
      </w:pPr>
      <w:r>
        <w:rPr>
          <w:rFonts w:cs="Times New Roman"/>
          <w:szCs w:val="24"/>
        </w:rPr>
        <w:t>The</w:t>
      </w:r>
      <w:r w:rsidR="0019562C">
        <w:rPr>
          <w:rFonts w:cs="Times New Roman"/>
          <w:szCs w:val="24"/>
        </w:rPr>
        <w:t xml:space="preserve"> appellate panel reviewed </w:t>
      </w:r>
      <w:r w:rsidR="00837D8B">
        <w:rPr>
          <w:rFonts w:cs="Times New Roman"/>
          <w:szCs w:val="24"/>
        </w:rPr>
        <w:t xml:space="preserve">the language of the statute in the context of the constitutional parameters set forth by the </w:t>
      </w:r>
      <w:r w:rsidR="0021595B">
        <w:rPr>
          <w:rFonts w:cs="Times New Roman"/>
          <w:szCs w:val="24"/>
        </w:rPr>
        <w:t xml:space="preserve">decisions of the United States </w:t>
      </w:r>
      <w:r w:rsidR="00837D8B">
        <w:rPr>
          <w:rFonts w:cs="Times New Roman"/>
          <w:szCs w:val="24"/>
        </w:rPr>
        <w:t xml:space="preserve">Supreme </w:t>
      </w:r>
      <w:r w:rsidR="0021595B">
        <w:rPr>
          <w:rFonts w:cs="Times New Roman"/>
          <w:szCs w:val="24"/>
        </w:rPr>
        <w:t>Court and the New Jersey Supreme Court.</w:t>
      </w:r>
      <w:r w:rsidR="0021595B">
        <w:rPr>
          <w:rStyle w:val="FootnoteReference"/>
          <w:rFonts w:cs="Times New Roman"/>
          <w:szCs w:val="24"/>
        </w:rPr>
        <w:footnoteReference w:id="46"/>
      </w:r>
      <w:r w:rsidR="0021595B">
        <w:rPr>
          <w:rFonts w:cs="Times New Roman"/>
          <w:szCs w:val="24"/>
        </w:rPr>
        <w:t xml:space="preserve"> In addition, the court </w:t>
      </w:r>
      <w:r w:rsidR="001B0946">
        <w:rPr>
          <w:rFonts w:cs="Times New Roman"/>
          <w:szCs w:val="24"/>
        </w:rPr>
        <w:t>juxtaposed N.J.S. 170-29(1) and N.J.S. 2C:33-2(b) and found that the defect fatal to the validity of the former inheres to the latter.</w:t>
      </w:r>
      <w:r w:rsidR="001B0946">
        <w:rPr>
          <w:rStyle w:val="FootnoteReference"/>
          <w:rFonts w:cs="Times New Roman"/>
          <w:szCs w:val="24"/>
        </w:rPr>
        <w:footnoteReference w:id="47"/>
      </w:r>
      <w:r w:rsidR="001B0946">
        <w:rPr>
          <w:rFonts w:cs="Times New Roman"/>
          <w:szCs w:val="24"/>
        </w:rPr>
        <w:t xml:space="preserve"> In reversing H.D.’s adjudication of delinquency t</w:t>
      </w:r>
      <w:r w:rsidR="0021595B">
        <w:rPr>
          <w:rFonts w:cs="Times New Roman"/>
          <w:szCs w:val="24"/>
        </w:rPr>
        <w:t xml:space="preserve">he Court held that, “…there is no valid statutory authority for prosecutions based upon the public use of </w:t>
      </w:r>
      <w:r w:rsidR="00452C8E">
        <w:rPr>
          <w:rFonts w:cs="Times New Roman"/>
          <w:szCs w:val="24"/>
        </w:rPr>
        <w:t>coarse</w:t>
      </w:r>
      <w:r w:rsidR="001B0946">
        <w:rPr>
          <w:rFonts w:cs="Times New Roman"/>
          <w:szCs w:val="24"/>
        </w:rPr>
        <w:t xml:space="preserve"> or abusive language which [do]</w:t>
      </w:r>
      <w:r w:rsidR="0021595B">
        <w:rPr>
          <w:rFonts w:cs="Times New Roman"/>
          <w:szCs w:val="24"/>
        </w:rPr>
        <w:t xml:space="preserve"> not go beyond offending the sensibilities of the listener.”</w:t>
      </w:r>
      <w:r w:rsidR="0021595B">
        <w:rPr>
          <w:rStyle w:val="FootnoteReference"/>
          <w:rFonts w:cs="Times New Roman"/>
          <w:szCs w:val="24"/>
        </w:rPr>
        <w:footnoteReference w:id="48"/>
      </w:r>
      <w:r w:rsidR="001B0946">
        <w:rPr>
          <w:rFonts w:cs="Times New Roman"/>
          <w:szCs w:val="24"/>
        </w:rPr>
        <w:t xml:space="preserve"> </w:t>
      </w:r>
    </w:p>
    <w:p w14:paraId="0F61D2D5" w14:textId="6A7CBA0A" w:rsidR="001B0946" w:rsidRDefault="000A575F" w:rsidP="00DB01FF">
      <w:pPr>
        <w:ind w:firstLine="720"/>
        <w:jc w:val="both"/>
        <w:rPr>
          <w:rFonts w:cs="Times New Roman"/>
          <w:szCs w:val="24"/>
        </w:rPr>
      </w:pPr>
      <w:r>
        <w:rPr>
          <w:rFonts w:cs="Times New Roman"/>
          <w:szCs w:val="24"/>
        </w:rPr>
        <w:t>T</w:t>
      </w:r>
      <w:r w:rsidR="00490565">
        <w:rPr>
          <w:rFonts w:cs="Times New Roman"/>
          <w:szCs w:val="24"/>
        </w:rPr>
        <w:t xml:space="preserve">he elimination of subsection b. would be consistent with </w:t>
      </w:r>
      <w:r>
        <w:rPr>
          <w:rFonts w:cs="Times New Roman"/>
          <w:szCs w:val="24"/>
        </w:rPr>
        <w:t xml:space="preserve">jurisprudence from both the United States Supreme Court and the New Jersey Supreme Court. </w:t>
      </w:r>
    </w:p>
    <w:p w14:paraId="1DFA394E" w14:textId="5086B897" w:rsidR="00DB01FF" w:rsidRPr="00B9672A" w:rsidRDefault="00B9672A" w:rsidP="00DB01FF">
      <w:pPr>
        <w:ind w:firstLine="720"/>
        <w:jc w:val="both"/>
        <w:rPr>
          <w:rFonts w:cs="Times New Roman"/>
          <w:i/>
          <w:szCs w:val="24"/>
        </w:rPr>
      </w:pPr>
      <w:r>
        <w:rPr>
          <w:rFonts w:cs="Times New Roman"/>
          <w:szCs w:val="24"/>
        </w:rPr>
        <w:t xml:space="preserve">• </w:t>
      </w:r>
      <w:r>
        <w:rPr>
          <w:rFonts w:cs="Times New Roman"/>
          <w:i/>
          <w:szCs w:val="24"/>
        </w:rPr>
        <w:t>Pending Legislation</w:t>
      </w:r>
      <w:r w:rsidR="00F1053C">
        <w:rPr>
          <w:rFonts w:cs="Times New Roman"/>
          <w:i/>
          <w:szCs w:val="24"/>
        </w:rPr>
        <w:t xml:space="preserve"> – A1324</w:t>
      </w:r>
    </w:p>
    <w:p w14:paraId="69025A85" w14:textId="1117F6F2" w:rsidR="00DB01FF" w:rsidRDefault="00C6315E" w:rsidP="00DB01FF">
      <w:pPr>
        <w:ind w:firstLine="720"/>
        <w:jc w:val="both"/>
        <w:rPr>
          <w:rFonts w:cs="Times New Roman"/>
          <w:szCs w:val="24"/>
        </w:rPr>
      </w:pPr>
      <w:r>
        <w:rPr>
          <w:rFonts w:cs="Times New Roman"/>
          <w:szCs w:val="24"/>
        </w:rPr>
        <w:t>Assembly Bill 13</w:t>
      </w:r>
      <w:r w:rsidR="00452C8E">
        <w:rPr>
          <w:rFonts w:cs="Times New Roman"/>
          <w:szCs w:val="24"/>
        </w:rPr>
        <w:t>2</w:t>
      </w:r>
      <w:bookmarkStart w:id="1" w:name="_GoBack"/>
      <w:bookmarkEnd w:id="1"/>
      <w:r>
        <w:rPr>
          <w:rFonts w:cs="Times New Roman"/>
          <w:szCs w:val="24"/>
        </w:rPr>
        <w:t>4 was introduced on January 9, 2018</w:t>
      </w:r>
      <w:r w:rsidR="009475DC">
        <w:rPr>
          <w:rFonts w:cs="Times New Roman"/>
          <w:szCs w:val="24"/>
        </w:rPr>
        <w:t>,</w:t>
      </w:r>
      <w:r>
        <w:rPr>
          <w:rFonts w:cs="Times New Roman"/>
          <w:szCs w:val="24"/>
        </w:rPr>
        <w:t xml:space="preserve"> and referred to the Assembly Law and Public Safety Committee. This </w:t>
      </w:r>
      <w:r w:rsidR="00DB01FF">
        <w:rPr>
          <w:rFonts w:cs="Times New Roman"/>
          <w:szCs w:val="24"/>
        </w:rPr>
        <w:t xml:space="preserve">legislation </w:t>
      </w:r>
      <w:r>
        <w:rPr>
          <w:rFonts w:cs="Times New Roman"/>
          <w:szCs w:val="24"/>
        </w:rPr>
        <w:t>seeks to</w:t>
      </w:r>
      <w:r w:rsidR="00DB01FF">
        <w:rPr>
          <w:rFonts w:cs="Times New Roman"/>
          <w:szCs w:val="24"/>
        </w:rPr>
        <w:t xml:space="preserve"> “</w:t>
      </w:r>
      <w:proofErr w:type="gramStart"/>
      <w:r w:rsidR="00DB01FF">
        <w:rPr>
          <w:rFonts w:cs="Times New Roman"/>
          <w:szCs w:val="24"/>
        </w:rPr>
        <w:t>enhance[</w:t>
      </w:r>
      <w:proofErr w:type="gramEnd"/>
      <w:r w:rsidR="00DB01FF">
        <w:rPr>
          <w:rFonts w:cs="Times New Roman"/>
          <w:szCs w:val="24"/>
        </w:rPr>
        <w:t>] the penalties for engaging in the petty disorderly person’s offense of improper behavior while in a place of public accommodation.”</w:t>
      </w:r>
      <w:r w:rsidR="00DB01FF">
        <w:rPr>
          <w:rStyle w:val="FootnoteReference"/>
          <w:rFonts w:cs="Times New Roman"/>
          <w:szCs w:val="24"/>
        </w:rPr>
        <w:footnoteReference w:id="49"/>
      </w:r>
      <w:r w:rsidR="00DB01FF">
        <w:rPr>
          <w:rFonts w:cs="Times New Roman"/>
          <w:szCs w:val="24"/>
        </w:rPr>
        <w:t xml:space="preserve"> This </w:t>
      </w:r>
      <w:r>
        <w:rPr>
          <w:rFonts w:cs="Times New Roman"/>
          <w:szCs w:val="24"/>
        </w:rPr>
        <w:t xml:space="preserve">legislation, however, does not address the ambiguity raised in </w:t>
      </w:r>
      <w:proofErr w:type="spellStart"/>
      <w:r>
        <w:rPr>
          <w:rFonts w:cs="Times New Roman"/>
          <w:i/>
          <w:szCs w:val="24"/>
        </w:rPr>
        <w:t>Finneman</w:t>
      </w:r>
      <w:proofErr w:type="spellEnd"/>
      <w:r>
        <w:rPr>
          <w:rFonts w:cs="Times New Roman"/>
          <w:szCs w:val="24"/>
        </w:rPr>
        <w:t xml:space="preserve"> </w:t>
      </w:r>
      <w:r w:rsidR="00725E97">
        <w:rPr>
          <w:rFonts w:cs="Times New Roman"/>
          <w:szCs w:val="24"/>
        </w:rPr>
        <w:t>regarding</w:t>
      </w:r>
      <w:r>
        <w:rPr>
          <w:rFonts w:cs="Times New Roman"/>
          <w:szCs w:val="24"/>
        </w:rPr>
        <w:t xml:space="preserve"> the term tumultuous. Rather, this bill </w:t>
      </w:r>
      <w:r w:rsidR="00DB01FF">
        <w:rPr>
          <w:rFonts w:cs="Times New Roman"/>
          <w:szCs w:val="24"/>
        </w:rPr>
        <w:t>leave</w:t>
      </w:r>
      <w:r>
        <w:rPr>
          <w:rFonts w:cs="Times New Roman"/>
          <w:szCs w:val="24"/>
        </w:rPr>
        <w:t>s</w:t>
      </w:r>
      <w:r w:rsidR="00DB01FF">
        <w:rPr>
          <w:rFonts w:cs="Times New Roman"/>
          <w:szCs w:val="24"/>
        </w:rPr>
        <w:t xml:space="preserve"> the current language of the statute unchanged, </w:t>
      </w:r>
      <w:r>
        <w:rPr>
          <w:rFonts w:cs="Times New Roman"/>
          <w:szCs w:val="24"/>
        </w:rPr>
        <w:t xml:space="preserve">and </w:t>
      </w:r>
      <w:r w:rsidR="00DB01FF">
        <w:rPr>
          <w:rFonts w:cs="Times New Roman"/>
          <w:szCs w:val="24"/>
        </w:rPr>
        <w:t>add</w:t>
      </w:r>
      <w:r>
        <w:rPr>
          <w:rFonts w:cs="Times New Roman"/>
          <w:szCs w:val="24"/>
        </w:rPr>
        <w:t>s</w:t>
      </w:r>
      <w:r w:rsidR="00DB01FF">
        <w:rPr>
          <w:rFonts w:cs="Times New Roman"/>
          <w:szCs w:val="24"/>
        </w:rPr>
        <w:t xml:space="preserve"> a </w:t>
      </w:r>
      <w:r>
        <w:rPr>
          <w:rFonts w:cs="Times New Roman"/>
          <w:szCs w:val="24"/>
        </w:rPr>
        <w:t xml:space="preserve">new </w:t>
      </w:r>
      <w:r w:rsidR="00DB01FF">
        <w:rPr>
          <w:rFonts w:cs="Times New Roman"/>
          <w:szCs w:val="24"/>
        </w:rPr>
        <w:t>subsection where</w:t>
      </w:r>
      <w:r>
        <w:rPr>
          <w:rFonts w:cs="Times New Roman"/>
          <w:szCs w:val="24"/>
        </w:rPr>
        <w:t>in</w:t>
      </w:r>
      <w:r w:rsidR="00DB01FF">
        <w:rPr>
          <w:rFonts w:cs="Times New Roman"/>
          <w:szCs w:val="24"/>
        </w:rPr>
        <w:t xml:space="preserve"> a person engaging in the behavior described in subsection a</w:t>
      </w:r>
      <w:r>
        <w:rPr>
          <w:rFonts w:cs="Times New Roman"/>
          <w:szCs w:val="24"/>
        </w:rPr>
        <w:t>.</w:t>
      </w:r>
      <w:r w:rsidR="00DB01FF">
        <w:rPr>
          <w:rFonts w:cs="Times New Roman"/>
          <w:szCs w:val="24"/>
        </w:rPr>
        <w:t xml:space="preserve"> </w:t>
      </w:r>
      <w:r w:rsidR="00AE3907">
        <w:rPr>
          <w:rFonts w:cs="Times New Roman"/>
          <w:szCs w:val="24"/>
        </w:rPr>
        <w:t xml:space="preserve">of the current statute, </w:t>
      </w:r>
      <w:r w:rsidR="00DB01FF">
        <w:rPr>
          <w:rFonts w:cs="Times New Roman"/>
          <w:szCs w:val="24"/>
        </w:rPr>
        <w:t>which includes “tumultuous” behavior</w:t>
      </w:r>
      <w:r w:rsidR="00AE3907">
        <w:rPr>
          <w:rFonts w:cs="Times New Roman"/>
          <w:szCs w:val="24"/>
        </w:rPr>
        <w:t>,</w:t>
      </w:r>
      <w:r w:rsidR="00DB01FF">
        <w:rPr>
          <w:rFonts w:cs="Times New Roman"/>
          <w:szCs w:val="24"/>
        </w:rPr>
        <w:t xml:space="preserve"> in a place of public accommodation “shall be sentenced to a term of imprisonment of not less than one day or more than 30 days; shall be ordered to perform 50 hours of community service; shall be ordered to pay a fine of $500 in addition to any restitution ordered; and shall be banned by judicial order from frequenting the place of public accommodation for not less than one year or more than two years.”</w:t>
      </w:r>
      <w:r w:rsidR="00DB01FF">
        <w:rPr>
          <w:rStyle w:val="FootnoteReference"/>
          <w:rFonts w:cs="Times New Roman"/>
          <w:szCs w:val="24"/>
        </w:rPr>
        <w:footnoteReference w:id="50"/>
      </w:r>
    </w:p>
    <w:p w14:paraId="5FBC8520" w14:textId="77777777" w:rsidR="00AE3907" w:rsidRDefault="00DB01FF" w:rsidP="00AE3907">
      <w:pPr>
        <w:ind w:firstLine="720"/>
        <w:jc w:val="both"/>
        <w:rPr>
          <w:rFonts w:cs="Times New Roman"/>
          <w:szCs w:val="24"/>
        </w:rPr>
      </w:pPr>
      <w:r>
        <w:rPr>
          <w:rFonts w:cs="Times New Roman"/>
          <w:szCs w:val="24"/>
        </w:rPr>
        <w:lastRenderedPageBreak/>
        <w:t xml:space="preserve">If this proposed legislation </w:t>
      </w:r>
      <w:r w:rsidR="00AE3907">
        <w:rPr>
          <w:rFonts w:cs="Times New Roman"/>
          <w:szCs w:val="24"/>
        </w:rPr>
        <w:t xml:space="preserve">is </w:t>
      </w:r>
      <w:r>
        <w:rPr>
          <w:rFonts w:cs="Times New Roman"/>
          <w:szCs w:val="24"/>
        </w:rPr>
        <w:t xml:space="preserve">enacted, the penalties for “tumultuous” behavior in a “public” place would include imprisonment, as well as fines. </w:t>
      </w:r>
      <w:r w:rsidR="00AE3907">
        <w:rPr>
          <w:rFonts w:cs="Times New Roman"/>
          <w:szCs w:val="24"/>
        </w:rPr>
        <w:t xml:space="preserve">Given the possibility of incarceration for those found guilty of disorderly conduct, </w:t>
      </w:r>
      <w:r>
        <w:rPr>
          <w:rFonts w:cs="Times New Roman"/>
          <w:szCs w:val="24"/>
        </w:rPr>
        <w:t xml:space="preserve">it may be beneficial to </w:t>
      </w:r>
      <w:r w:rsidR="00AE3907">
        <w:rPr>
          <w:rFonts w:cs="Times New Roman"/>
          <w:szCs w:val="24"/>
        </w:rPr>
        <w:t xml:space="preserve">define or eliminate the word </w:t>
      </w:r>
      <w:r>
        <w:rPr>
          <w:rFonts w:cs="Times New Roman"/>
          <w:szCs w:val="24"/>
        </w:rPr>
        <w:t xml:space="preserve">“tumultuous” and </w:t>
      </w:r>
      <w:r w:rsidR="00AE3907">
        <w:rPr>
          <w:rFonts w:cs="Times New Roman"/>
          <w:szCs w:val="24"/>
        </w:rPr>
        <w:t xml:space="preserve">clarify </w:t>
      </w:r>
      <w:r>
        <w:rPr>
          <w:rFonts w:cs="Times New Roman"/>
          <w:szCs w:val="24"/>
        </w:rPr>
        <w:t xml:space="preserve">whether the definition of “public” applies to </w:t>
      </w:r>
      <w:r w:rsidR="00AE3907">
        <w:rPr>
          <w:rFonts w:cs="Times New Roman"/>
          <w:szCs w:val="24"/>
        </w:rPr>
        <w:t xml:space="preserve">both subsections a. and b. of </w:t>
      </w:r>
      <w:r>
        <w:rPr>
          <w:rFonts w:cs="Times New Roman"/>
          <w:szCs w:val="24"/>
        </w:rPr>
        <w:t>N.J.S. 2C:33-2</w:t>
      </w:r>
      <w:r w:rsidR="00AE3907">
        <w:rPr>
          <w:rFonts w:cs="Times New Roman"/>
          <w:szCs w:val="24"/>
        </w:rPr>
        <w:t xml:space="preserve">. </w:t>
      </w:r>
    </w:p>
    <w:p w14:paraId="61E53851" w14:textId="6FD52A16" w:rsidR="00DB01FF" w:rsidRPr="00431C2A" w:rsidRDefault="00DB01FF" w:rsidP="00AE3907">
      <w:pPr>
        <w:jc w:val="center"/>
        <w:rPr>
          <w:rFonts w:eastAsia="Times New Roman" w:cs="Times New Roman"/>
          <w:b/>
          <w:szCs w:val="24"/>
        </w:rPr>
      </w:pPr>
      <w:r w:rsidRPr="00431C2A">
        <w:rPr>
          <w:rFonts w:eastAsia="Times New Roman" w:cs="Times New Roman"/>
          <w:b/>
          <w:szCs w:val="24"/>
        </w:rPr>
        <w:t>Conclusion</w:t>
      </w:r>
    </w:p>
    <w:p w14:paraId="3D099E14" w14:textId="385CA31D" w:rsidR="009B0702" w:rsidRPr="003312FC" w:rsidRDefault="00AE3907" w:rsidP="003312FC">
      <w:pPr>
        <w:ind w:firstLine="720"/>
        <w:jc w:val="both"/>
        <w:rPr>
          <w:rFonts w:eastAsia="Times New Roman" w:cs="Times New Roman"/>
          <w:szCs w:val="24"/>
        </w:rPr>
      </w:pPr>
      <w:r>
        <w:rPr>
          <w:rFonts w:eastAsia="Times New Roman" w:cs="Times New Roman"/>
          <w:szCs w:val="24"/>
        </w:rPr>
        <w:t>A review of New Jersey’s disorderly con</w:t>
      </w:r>
      <w:r w:rsidR="003312FC">
        <w:rPr>
          <w:rFonts w:eastAsia="Times New Roman" w:cs="Times New Roman"/>
          <w:szCs w:val="24"/>
        </w:rPr>
        <w:t>duct statute, and similar statutes throughout the United States</w:t>
      </w:r>
      <w:r w:rsidR="00E545E2">
        <w:rPr>
          <w:rFonts w:eastAsia="Times New Roman" w:cs="Times New Roman"/>
          <w:szCs w:val="24"/>
        </w:rPr>
        <w:t>,</w:t>
      </w:r>
      <w:r w:rsidR="003312FC">
        <w:rPr>
          <w:rFonts w:eastAsia="Times New Roman" w:cs="Times New Roman"/>
          <w:szCs w:val="24"/>
        </w:rPr>
        <w:t xml:space="preserve"> suggests that N.J.S. 2C:33-2 may benefit from revision to provide for: gender neutral language</w:t>
      </w:r>
      <w:r w:rsidR="00E545E2">
        <w:rPr>
          <w:rFonts w:eastAsia="Times New Roman" w:cs="Times New Roman"/>
          <w:szCs w:val="24"/>
        </w:rPr>
        <w:t>;</w:t>
      </w:r>
      <w:r w:rsidR="003312FC">
        <w:rPr>
          <w:rFonts w:eastAsia="Times New Roman" w:cs="Times New Roman"/>
          <w:szCs w:val="24"/>
        </w:rPr>
        <w:t xml:space="preserve"> </w:t>
      </w:r>
      <w:r w:rsidR="00E545E2">
        <w:rPr>
          <w:rFonts w:eastAsia="Times New Roman" w:cs="Times New Roman"/>
          <w:szCs w:val="24"/>
        </w:rPr>
        <w:t xml:space="preserve">the </w:t>
      </w:r>
      <w:r w:rsidR="003312FC">
        <w:rPr>
          <w:rFonts w:eastAsia="Times New Roman" w:cs="Times New Roman"/>
          <w:szCs w:val="24"/>
        </w:rPr>
        <w:t>modification or elimination of the term tumultuous</w:t>
      </w:r>
      <w:r w:rsidR="00E545E2">
        <w:rPr>
          <w:rFonts w:eastAsia="Times New Roman" w:cs="Times New Roman"/>
          <w:szCs w:val="24"/>
        </w:rPr>
        <w:t>;</w:t>
      </w:r>
      <w:r w:rsidR="003312FC">
        <w:rPr>
          <w:rFonts w:eastAsia="Times New Roman" w:cs="Times New Roman"/>
          <w:szCs w:val="24"/>
        </w:rPr>
        <w:t xml:space="preserve"> </w:t>
      </w:r>
      <w:r w:rsidR="00E545E2">
        <w:rPr>
          <w:rFonts w:eastAsia="Times New Roman" w:cs="Times New Roman"/>
          <w:szCs w:val="24"/>
        </w:rPr>
        <w:t xml:space="preserve">the elimination of the subsection criminalizing offensive language; </w:t>
      </w:r>
      <w:r w:rsidR="003312FC">
        <w:rPr>
          <w:rFonts w:eastAsia="Times New Roman" w:cs="Times New Roman"/>
          <w:szCs w:val="24"/>
        </w:rPr>
        <w:t>and</w:t>
      </w:r>
      <w:r w:rsidR="00E545E2">
        <w:rPr>
          <w:rFonts w:eastAsia="Times New Roman" w:cs="Times New Roman"/>
          <w:szCs w:val="24"/>
        </w:rPr>
        <w:t>,</w:t>
      </w:r>
      <w:r w:rsidR="003312FC">
        <w:rPr>
          <w:rFonts w:eastAsia="Times New Roman" w:cs="Times New Roman"/>
          <w:szCs w:val="24"/>
        </w:rPr>
        <w:t xml:space="preserve"> </w:t>
      </w:r>
      <w:r w:rsidR="00E545E2">
        <w:rPr>
          <w:rFonts w:eastAsia="Times New Roman" w:cs="Times New Roman"/>
          <w:szCs w:val="24"/>
        </w:rPr>
        <w:t>c</w:t>
      </w:r>
      <w:r w:rsidR="003312FC">
        <w:rPr>
          <w:rFonts w:eastAsia="Times New Roman" w:cs="Times New Roman"/>
          <w:szCs w:val="24"/>
        </w:rPr>
        <w:t xml:space="preserve">larification that the term “public” applies to the entire statute rather than to only one subsection. </w:t>
      </w:r>
    </w:p>
    <w:p w14:paraId="772B1A60" w14:textId="428815D3" w:rsidR="009B0702" w:rsidRPr="00243793" w:rsidRDefault="009B0702" w:rsidP="009B0702">
      <w:pPr>
        <w:spacing w:after="0"/>
        <w:ind w:firstLine="720"/>
        <w:jc w:val="both"/>
        <w:rPr>
          <w:b/>
          <w:szCs w:val="24"/>
        </w:rPr>
      </w:pPr>
      <w:r w:rsidRPr="00243793">
        <w:rPr>
          <w:szCs w:val="24"/>
        </w:rPr>
        <w:t>The Appendi</w:t>
      </w:r>
      <w:r w:rsidR="0000761C">
        <w:rPr>
          <w:szCs w:val="24"/>
        </w:rPr>
        <w:t>x</w:t>
      </w:r>
      <w:r w:rsidRPr="00243793">
        <w:rPr>
          <w:szCs w:val="24"/>
        </w:rPr>
        <w:t xml:space="preserve"> on the following page</w:t>
      </w:r>
      <w:r>
        <w:rPr>
          <w:szCs w:val="24"/>
        </w:rPr>
        <w:t>s</w:t>
      </w:r>
      <w:r w:rsidRPr="00243793">
        <w:rPr>
          <w:szCs w:val="24"/>
        </w:rPr>
        <w:t xml:space="preserve"> propose</w:t>
      </w:r>
      <w:r w:rsidR="0000761C">
        <w:rPr>
          <w:szCs w:val="24"/>
        </w:rPr>
        <w:t>s</w:t>
      </w:r>
      <w:r w:rsidRPr="00243793">
        <w:rPr>
          <w:szCs w:val="24"/>
        </w:rPr>
        <w:t xml:space="preserve"> </w:t>
      </w:r>
      <w:r w:rsidR="00761ABE">
        <w:rPr>
          <w:szCs w:val="24"/>
        </w:rPr>
        <w:t>modifications</w:t>
      </w:r>
      <w:r w:rsidRPr="00243793">
        <w:rPr>
          <w:szCs w:val="24"/>
        </w:rPr>
        <w:t xml:space="preserve"> to the </w:t>
      </w:r>
      <w:r>
        <w:rPr>
          <w:szCs w:val="24"/>
        </w:rPr>
        <w:t xml:space="preserve">New Jersey </w:t>
      </w:r>
      <w:r w:rsidRPr="00243793">
        <w:rPr>
          <w:szCs w:val="24"/>
        </w:rPr>
        <w:t xml:space="preserve">statute </w:t>
      </w:r>
      <w:r w:rsidR="00761ABE">
        <w:rPr>
          <w:szCs w:val="24"/>
        </w:rPr>
        <w:t xml:space="preserve">that </w:t>
      </w:r>
      <w:r w:rsidR="003312FC">
        <w:rPr>
          <w:szCs w:val="24"/>
        </w:rPr>
        <w:t xml:space="preserve">which seeks to discourage individuals from acting in a disorderly manner in public. </w:t>
      </w:r>
      <w:r w:rsidRPr="00EF421C">
        <w:rPr>
          <w:szCs w:val="24"/>
        </w:rPr>
        <w:t xml:space="preserve">The proposed modifications are </w:t>
      </w:r>
      <w:r w:rsidR="002A60F5">
        <w:rPr>
          <w:szCs w:val="24"/>
        </w:rPr>
        <w:t>derived from t</w:t>
      </w:r>
      <w:r w:rsidRPr="00EF421C">
        <w:rPr>
          <w:szCs w:val="24"/>
        </w:rPr>
        <w:t xml:space="preserve">he language </w:t>
      </w:r>
      <w:r>
        <w:rPr>
          <w:szCs w:val="24"/>
        </w:rPr>
        <w:t xml:space="preserve">and principles </w:t>
      </w:r>
      <w:r w:rsidRPr="00EF421C">
        <w:rPr>
          <w:szCs w:val="24"/>
        </w:rPr>
        <w:t xml:space="preserve">contained </w:t>
      </w:r>
      <w:r w:rsidR="002A60F5">
        <w:rPr>
          <w:szCs w:val="24"/>
        </w:rPr>
        <w:t>in similar statutes and the case law</w:t>
      </w:r>
      <w:r>
        <w:rPr>
          <w:szCs w:val="24"/>
        </w:rPr>
        <w:t>.</w:t>
      </w:r>
    </w:p>
    <w:p w14:paraId="40ED9C5E" w14:textId="4816606A" w:rsidR="00314A44" w:rsidRDefault="00314A44">
      <w:r>
        <w:br w:type="page"/>
      </w:r>
    </w:p>
    <w:p w14:paraId="138EF124" w14:textId="61611EFA" w:rsidR="00AB1C29" w:rsidRDefault="00314A44" w:rsidP="00314A44">
      <w:pPr>
        <w:spacing w:after="0" w:line="240" w:lineRule="auto"/>
        <w:jc w:val="center"/>
        <w:rPr>
          <w:b/>
          <w:sz w:val="28"/>
        </w:rPr>
      </w:pPr>
      <w:r>
        <w:rPr>
          <w:b/>
          <w:sz w:val="28"/>
        </w:rPr>
        <w:lastRenderedPageBreak/>
        <w:t>Appendix</w:t>
      </w:r>
    </w:p>
    <w:p w14:paraId="5B6942CF" w14:textId="2808B08E" w:rsidR="00314A44" w:rsidRDefault="00314A44" w:rsidP="00314A44">
      <w:pPr>
        <w:spacing w:after="0" w:line="240" w:lineRule="auto"/>
        <w:jc w:val="center"/>
        <w:rPr>
          <w:b/>
          <w:sz w:val="28"/>
        </w:rPr>
      </w:pPr>
      <w:r>
        <w:rPr>
          <w:b/>
          <w:sz w:val="28"/>
        </w:rPr>
        <w:t xml:space="preserve">Proposed Changes to </w:t>
      </w:r>
      <w:r w:rsidR="00AB1C29">
        <w:rPr>
          <w:b/>
          <w:sz w:val="28"/>
        </w:rPr>
        <w:t>2C:33-2</w:t>
      </w:r>
      <w:r w:rsidR="00CC5AB9">
        <w:rPr>
          <w:b/>
          <w:sz w:val="28"/>
        </w:rPr>
        <w:t xml:space="preserve"> – Three Options</w:t>
      </w:r>
    </w:p>
    <w:p w14:paraId="7034F68F" w14:textId="77777777" w:rsidR="00314A44" w:rsidRDefault="00314A44" w:rsidP="00314A44">
      <w:pPr>
        <w:spacing w:after="0" w:line="240" w:lineRule="auto"/>
        <w:jc w:val="center"/>
        <w:rPr>
          <w:b/>
          <w:sz w:val="28"/>
        </w:rPr>
      </w:pPr>
    </w:p>
    <w:p w14:paraId="3AE3B35A" w14:textId="158B77B3" w:rsidR="00314A44" w:rsidRDefault="00314A44" w:rsidP="00314A44">
      <w:pPr>
        <w:spacing w:after="0" w:line="240" w:lineRule="auto"/>
        <w:ind w:firstLine="720"/>
        <w:jc w:val="both"/>
      </w:pPr>
      <w:r>
        <w:t xml:space="preserve">The proposed modifications (shown with </w:t>
      </w:r>
      <w:r w:rsidRPr="0066552F">
        <w:rPr>
          <w:i/>
        </w:rPr>
        <w:t>italics</w:t>
      </w:r>
      <w:r>
        <w:t xml:space="preserve"> </w:t>
      </w:r>
      <w:r w:rsidRPr="0066552F">
        <w:rPr>
          <w:u w:val="single"/>
        </w:rPr>
        <w:t>underlining</w:t>
      </w:r>
      <w:r>
        <w:t xml:space="preserve"> and </w:t>
      </w:r>
      <w:r>
        <w:rPr>
          <w:strike/>
        </w:rPr>
        <w:t>strikethrough</w:t>
      </w:r>
      <w:r w:rsidR="006F254B" w:rsidRPr="006F254B">
        <w:t xml:space="preserve"> </w:t>
      </w:r>
      <w:r w:rsidR="006F254B">
        <w:t>[optional language choices shown in [brackets]</w:t>
      </w:r>
      <w:r>
        <w:t>), are as follows:</w:t>
      </w:r>
    </w:p>
    <w:p w14:paraId="71EEE14B" w14:textId="77777777" w:rsidR="003041D5" w:rsidRDefault="003041D5" w:rsidP="00314A44">
      <w:pPr>
        <w:spacing w:after="0" w:line="240" w:lineRule="auto"/>
        <w:ind w:firstLine="720"/>
        <w:jc w:val="both"/>
      </w:pPr>
    </w:p>
    <w:p w14:paraId="7445FCD8" w14:textId="22CD07F2" w:rsidR="003041D5" w:rsidRPr="003041D5" w:rsidRDefault="003041D5" w:rsidP="003041D5">
      <w:pPr>
        <w:spacing w:after="0" w:line="240" w:lineRule="auto"/>
        <w:jc w:val="both"/>
        <w:rPr>
          <w:i/>
          <w:u w:val="single"/>
        </w:rPr>
      </w:pPr>
      <w:r w:rsidRPr="003041D5">
        <w:rPr>
          <w:i/>
          <w:u w:val="single"/>
        </w:rPr>
        <w:t>Option #1:</w:t>
      </w:r>
    </w:p>
    <w:p w14:paraId="42B792D7" w14:textId="77777777" w:rsidR="00021B94" w:rsidRDefault="00021B94" w:rsidP="00314A44">
      <w:pPr>
        <w:spacing w:after="0" w:line="240" w:lineRule="auto"/>
        <w:ind w:firstLine="720"/>
        <w:jc w:val="both"/>
      </w:pPr>
    </w:p>
    <w:p w14:paraId="35A7FC4A" w14:textId="6CDD03BE" w:rsidR="00D84595" w:rsidRPr="003041D5" w:rsidRDefault="00D84595" w:rsidP="00D84595">
      <w:pPr>
        <w:jc w:val="both"/>
        <w:rPr>
          <w:b/>
        </w:rPr>
      </w:pPr>
      <w:r w:rsidRPr="003041D5">
        <w:rPr>
          <w:b/>
        </w:rPr>
        <w:t>2C:33-2. Disorderly conduct</w:t>
      </w:r>
    </w:p>
    <w:p w14:paraId="682869EA" w14:textId="006F9120" w:rsidR="00400C21" w:rsidRPr="00400C21" w:rsidRDefault="00400C21" w:rsidP="00400C21">
      <w:pPr>
        <w:jc w:val="both"/>
        <w:rPr>
          <w:u w:val="single"/>
        </w:rPr>
      </w:pPr>
      <w:r>
        <w:t xml:space="preserve">a. Improper behavior. A person is guilty of a petty disorderly persons offense, if with purpose to cause public inconvenience, annoyance or alarm, or recklessly creating a risk thereof he </w:t>
      </w:r>
      <w:r>
        <w:rPr>
          <w:u w:val="single"/>
        </w:rPr>
        <w:t>or she</w:t>
      </w:r>
    </w:p>
    <w:p w14:paraId="717413E4" w14:textId="77777777" w:rsidR="00400C21" w:rsidRDefault="00400C21" w:rsidP="00021B94">
      <w:pPr>
        <w:ind w:firstLine="720"/>
        <w:jc w:val="both"/>
      </w:pPr>
      <w:r>
        <w:t xml:space="preserve">(1) Engages in fighting or threatening, or in violent </w:t>
      </w:r>
      <w:r w:rsidRPr="00F3001A">
        <w:rPr>
          <w:strike/>
        </w:rPr>
        <w:t>or tumultuous</w:t>
      </w:r>
      <w:r>
        <w:t xml:space="preserve"> behavior; or</w:t>
      </w:r>
    </w:p>
    <w:p w14:paraId="0D2C0286" w14:textId="77777777" w:rsidR="00400C21" w:rsidRDefault="00400C21" w:rsidP="00021B94">
      <w:pPr>
        <w:ind w:firstLine="720"/>
        <w:jc w:val="both"/>
      </w:pPr>
      <w:r>
        <w:t>(2) Creates a hazardous or physically dangerous condition by any act which serves no legitimate purpose of the actor.</w:t>
      </w:r>
    </w:p>
    <w:p w14:paraId="58AAF05B" w14:textId="6C698959" w:rsidR="00400C21" w:rsidRPr="00031B01" w:rsidRDefault="00400C21" w:rsidP="00400C21">
      <w:pPr>
        <w:jc w:val="both"/>
        <w:rPr>
          <w:strike/>
        </w:rPr>
      </w:pPr>
      <w:r w:rsidRPr="00031B01">
        <w:rPr>
          <w:strike/>
        </w:rPr>
        <w:t>b. Offensive language. A person is guilty of a petty disorderly persons offense if, in a public place, and with purpose to offend the sensibilities of a hearer or in reckless disregard of the probability of so doing, he addresses unreasonably loud and offensively coarse or abusive language, given the circumstances of the person present and the setting of the utterance, to any person present.</w:t>
      </w:r>
    </w:p>
    <w:p w14:paraId="4D24A00C" w14:textId="5C5F154C" w:rsidR="00314A44" w:rsidRDefault="00031B01" w:rsidP="00D84595">
      <w:pPr>
        <w:jc w:val="both"/>
      </w:pPr>
      <w:r>
        <w:rPr>
          <w:u w:val="single"/>
        </w:rPr>
        <w:t>b</w:t>
      </w:r>
      <w:r w:rsidR="00040558">
        <w:rPr>
          <w:u w:val="single"/>
        </w:rPr>
        <w:t>.</w:t>
      </w:r>
      <w:r w:rsidR="00040558" w:rsidRPr="00040558">
        <w:t xml:space="preserve"> </w:t>
      </w:r>
      <w:r w:rsidR="00D84595">
        <w:t>“Public</w:t>
      </w:r>
      <w:r w:rsidR="00040558">
        <w:t>,</w:t>
      </w:r>
      <w:r w:rsidR="00D84595">
        <w:t xml:space="preserve">” </w:t>
      </w:r>
      <w:r w:rsidR="00040558">
        <w:rPr>
          <w:u w:val="single"/>
        </w:rPr>
        <w:t>as used in this section</w:t>
      </w:r>
      <w:r w:rsidR="00040558">
        <w:t xml:space="preserve">, </w:t>
      </w:r>
      <w:r w:rsidR="00D84595">
        <w:t>means affecting or likely to affect persons in a place to which the public or a substantial group has access; among the places included are highways, transport facilities, schools, prisons, apartment houses, places of business or amusement, or any neighborhood.</w:t>
      </w:r>
    </w:p>
    <w:p w14:paraId="19A9D9D6" w14:textId="70065F62" w:rsidR="006F254B" w:rsidRDefault="006F254B" w:rsidP="00830224">
      <w:pPr>
        <w:jc w:val="center"/>
        <w:rPr>
          <w:sz w:val="20"/>
        </w:rPr>
      </w:pPr>
      <w:r w:rsidRPr="00830224">
        <w:rPr>
          <w:sz w:val="20"/>
        </w:rPr>
        <w:t>Comment</w:t>
      </w:r>
    </w:p>
    <w:p w14:paraId="2416962D" w14:textId="749025C3" w:rsidR="006F254B" w:rsidRDefault="00C67A07" w:rsidP="00D84595">
      <w:pPr>
        <w:jc w:val="both"/>
        <w:rPr>
          <w:sz w:val="20"/>
        </w:rPr>
      </w:pPr>
      <w:r>
        <w:rPr>
          <w:sz w:val="20"/>
        </w:rPr>
        <w:t xml:space="preserve">Language has been added to section a. to render the statute gender neutral. </w:t>
      </w:r>
      <w:r w:rsidR="00F3001A">
        <w:rPr>
          <w:sz w:val="20"/>
        </w:rPr>
        <w:t xml:space="preserve">The term tumultuous has been stricken from </w:t>
      </w:r>
      <w:r w:rsidR="005B71FA">
        <w:rPr>
          <w:sz w:val="20"/>
        </w:rPr>
        <w:t xml:space="preserve">subsection </w:t>
      </w:r>
      <w:r w:rsidR="00F3001A">
        <w:rPr>
          <w:sz w:val="20"/>
        </w:rPr>
        <w:t xml:space="preserve">(a)(1). </w:t>
      </w:r>
    </w:p>
    <w:p w14:paraId="4B9C4D86" w14:textId="5747FD82" w:rsidR="00046048" w:rsidRDefault="00046048" w:rsidP="00BA5A5B">
      <w:pPr>
        <w:pStyle w:val="FootnoteText"/>
        <w:jc w:val="both"/>
      </w:pPr>
      <w:r>
        <w:t xml:space="preserve">To ensure that the statute is consistent with the holding </w:t>
      </w:r>
      <w:r w:rsidR="00B77CC8">
        <w:t>in</w:t>
      </w:r>
      <w:r>
        <w:t xml:space="preserve"> </w:t>
      </w:r>
      <w:r w:rsidRPr="00031B01">
        <w:rPr>
          <w:i/>
        </w:rPr>
        <w:t>State in the Interest of H.D.</w:t>
      </w:r>
      <w:r>
        <w:t xml:space="preserve"> 206 N.J. Super. 58 (App. Div. 1985), subsection b. has been eliminated from the statute. </w:t>
      </w:r>
      <w:r w:rsidRPr="00031B01">
        <w:rPr>
          <w:i/>
        </w:rPr>
        <w:t>See</w:t>
      </w:r>
      <w:r>
        <w:t xml:space="preserve"> discussion of offensive language </w:t>
      </w:r>
      <w:r w:rsidRPr="00046048">
        <w:rPr>
          <w:i/>
        </w:rPr>
        <w:t>supra</w:t>
      </w:r>
      <w:r>
        <w:rPr>
          <w:i/>
        </w:rPr>
        <w:t xml:space="preserve"> </w:t>
      </w:r>
      <w:r>
        <w:t xml:space="preserve">at 8. </w:t>
      </w:r>
      <w:r w:rsidR="00BA5A5B">
        <w:rPr>
          <w:rFonts w:cs="Times New Roman"/>
          <w:i/>
        </w:rPr>
        <w:t xml:space="preserve">See also State v. </w:t>
      </w:r>
      <w:proofErr w:type="spellStart"/>
      <w:r w:rsidR="00BA5A5B">
        <w:rPr>
          <w:rFonts w:cs="Times New Roman"/>
          <w:i/>
        </w:rPr>
        <w:t>Skott</w:t>
      </w:r>
      <w:proofErr w:type="spellEnd"/>
      <w:r w:rsidR="00BA5A5B">
        <w:rPr>
          <w:rFonts w:cs="Times New Roman"/>
        </w:rPr>
        <w:t xml:space="preserve">, 2014 WL 6634684 f.2 (Nov. 25, 2014)(Prosecutor in the Law Division dismissed the disorderly conduct charge against the defendant </w:t>
      </w:r>
      <w:r w:rsidR="00BA5A5B">
        <w:rPr>
          <w:rFonts w:cs="Times New Roman"/>
          <w:i/>
        </w:rPr>
        <w:t>citing State in the interest of H.D.</w:t>
      </w:r>
      <w:r w:rsidR="00BA5A5B">
        <w:rPr>
          <w:rFonts w:cs="Times New Roman"/>
        </w:rPr>
        <w:t xml:space="preserve">, 206 N.J. Super. 58, 61 (App. Div. 1985)). </w:t>
      </w:r>
      <w:r w:rsidR="00BA5A5B" w:rsidRPr="00BA5A5B">
        <w:rPr>
          <w:i/>
        </w:rPr>
        <w:t>See</w:t>
      </w:r>
      <w:r w:rsidR="00BA5A5B">
        <w:rPr>
          <w:i/>
        </w:rPr>
        <w:t xml:space="preserve"> </w:t>
      </w:r>
      <w:r>
        <w:rPr>
          <w:i/>
        </w:rPr>
        <w:t xml:space="preserve">also </w:t>
      </w:r>
      <w:r w:rsidRPr="00046048">
        <w:rPr>
          <w:smallCaps/>
        </w:rPr>
        <w:t>Cannel, Criminal Code Annotated</w:t>
      </w:r>
      <w:r>
        <w:t>, Comment 3 to N.J.S. 2C:33-2(b), (</w:t>
      </w:r>
      <w:r>
        <w:rPr>
          <w:i/>
        </w:rPr>
        <w:t xml:space="preserve">Gann), </w:t>
      </w:r>
      <w:r>
        <w:t>for a thoughtful discussion on the issue of the unconstitutionality of this portion of the statute.</w:t>
      </w:r>
    </w:p>
    <w:p w14:paraId="5905ACF7" w14:textId="77777777" w:rsidR="005B71FA" w:rsidRDefault="005B71FA" w:rsidP="00BA5A5B">
      <w:pPr>
        <w:pStyle w:val="FootnoteText"/>
        <w:jc w:val="both"/>
      </w:pPr>
    </w:p>
    <w:p w14:paraId="49C954A0" w14:textId="15E390BE" w:rsidR="005B71FA" w:rsidRDefault="005B71FA" w:rsidP="00BA5A5B">
      <w:pPr>
        <w:pStyle w:val="FootnoteText"/>
        <w:jc w:val="both"/>
      </w:pPr>
      <w:r>
        <w:t>The previously undesignated paragraph that appeared immediately below the now stricken section b. has been designated as subsection b. In addition, language has been added to this paragraph to clarify the definition of the word “public” as used in this statute.</w:t>
      </w:r>
    </w:p>
    <w:p w14:paraId="24BD071A" w14:textId="77777777" w:rsidR="00E545E2" w:rsidRDefault="00E545E2" w:rsidP="003D6FBA">
      <w:pPr>
        <w:rPr>
          <w:i/>
          <w:u w:val="single"/>
        </w:rPr>
      </w:pPr>
    </w:p>
    <w:p w14:paraId="0DCFD04F" w14:textId="4B0FAFB2" w:rsidR="002133A2" w:rsidRPr="003041D5" w:rsidRDefault="003D6FBA" w:rsidP="003D6FBA">
      <w:pPr>
        <w:rPr>
          <w:i/>
          <w:u w:val="single"/>
        </w:rPr>
      </w:pPr>
      <w:r w:rsidRPr="003041D5">
        <w:rPr>
          <w:i/>
          <w:u w:val="single"/>
        </w:rPr>
        <w:lastRenderedPageBreak/>
        <w:t xml:space="preserve">Option #2: </w:t>
      </w:r>
    </w:p>
    <w:p w14:paraId="34D62D92" w14:textId="179EF89B" w:rsidR="003041D5" w:rsidRPr="003041D5" w:rsidRDefault="003041D5" w:rsidP="003D6FBA">
      <w:pPr>
        <w:rPr>
          <w:b/>
          <w:sz w:val="28"/>
        </w:rPr>
      </w:pPr>
      <w:r w:rsidRPr="003041D5">
        <w:rPr>
          <w:b/>
        </w:rPr>
        <w:t>2C:33-2. Disorderly conduct</w:t>
      </w:r>
    </w:p>
    <w:p w14:paraId="721E179C" w14:textId="3240DE8B" w:rsidR="00AB1C29" w:rsidRPr="00400C21" w:rsidRDefault="00AB1C29" w:rsidP="00AB1C29">
      <w:pPr>
        <w:jc w:val="both"/>
        <w:rPr>
          <w:u w:val="single"/>
        </w:rPr>
      </w:pPr>
      <w:r>
        <w:t xml:space="preserve">a. Improper behavior. A person is guilty of a petty disorderly persons offense, if with purpose to cause public </w:t>
      </w:r>
      <w:r w:rsidR="0094780D">
        <w:rPr>
          <w:u w:val="single"/>
        </w:rPr>
        <w:t>physical</w:t>
      </w:r>
      <w:r w:rsidR="0094780D">
        <w:t xml:space="preserve"> </w:t>
      </w:r>
      <w:r>
        <w:t>inconvenience</w:t>
      </w:r>
      <w:r w:rsidRPr="0094780D">
        <w:rPr>
          <w:strike/>
        </w:rPr>
        <w:t>, annoyance</w:t>
      </w:r>
      <w:r>
        <w:t xml:space="preserve"> or alarm, or recklessly creating a risk thereof he </w:t>
      </w:r>
      <w:r>
        <w:rPr>
          <w:u w:val="single"/>
        </w:rPr>
        <w:t>or she</w:t>
      </w:r>
    </w:p>
    <w:p w14:paraId="077CC146" w14:textId="3949B358" w:rsidR="00AB1C29" w:rsidRDefault="00AB1C29" w:rsidP="00AB1C29">
      <w:pPr>
        <w:ind w:firstLine="720"/>
        <w:jc w:val="both"/>
      </w:pPr>
      <w:r>
        <w:t xml:space="preserve">(1) Engages in fighting or threatening, or in violent </w:t>
      </w:r>
      <w:r w:rsidRPr="0094780D">
        <w:rPr>
          <w:strike/>
        </w:rPr>
        <w:t>or tumultuous</w:t>
      </w:r>
      <w:r>
        <w:t xml:space="preserve"> behavior; or</w:t>
      </w:r>
    </w:p>
    <w:p w14:paraId="5B720C03" w14:textId="6786782D" w:rsidR="00AB1C29" w:rsidRPr="00AB1C29" w:rsidRDefault="00AB1C29" w:rsidP="00AB1C29">
      <w:pPr>
        <w:ind w:firstLine="720"/>
        <w:jc w:val="both"/>
        <w:rPr>
          <w:u w:val="single"/>
        </w:rPr>
      </w:pPr>
      <w:r w:rsidRPr="00AB1C29">
        <w:rPr>
          <w:u w:val="single"/>
        </w:rPr>
        <w:t>(2) Creates excessive and unreasonable noise; or</w:t>
      </w:r>
    </w:p>
    <w:p w14:paraId="580F48CF" w14:textId="374FA87F" w:rsidR="00AB1C29" w:rsidRDefault="00AB1C29" w:rsidP="00AB1C29">
      <w:pPr>
        <w:ind w:firstLine="720"/>
        <w:jc w:val="both"/>
      </w:pPr>
      <w:r w:rsidRPr="00AB1C29">
        <w:rPr>
          <w:strike/>
        </w:rPr>
        <w:t>(2)</w:t>
      </w:r>
      <w:r>
        <w:t xml:space="preserve"> </w:t>
      </w:r>
      <w:r w:rsidRPr="00AB1C29">
        <w:rPr>
          <w:u w:val="single"/>
        </w:rPr>
        <w:t>(3)</w:t>
      </w:r>
      <w:r>
        <w:t xml:space="preserve"> Creates a hazardous or physically dangerous condition by any act which serves no legitimate purpose of the actor.</w:t>
      </w:r>
    </w:p>
    <w:p w14:paraId="5D6917BF" w14:textId="77777777" w:rsidR="00AB1C29" w:rsidRPr="00031B01" w:rsidRDefault="00AB1C29" w:rsidP="00AB1C29">
      <w:pPr>
        <w:jc w:val="both"/>
        <w:rPr>
          <w:strike/>
        </w:rPr>
      </w:pPr>
      <w:r w:rsidRPr="00031B01">
        <w:rPr>
          <w:strike/>
        </w:rPr>
        <w:t>b. Offensive language. A person is guilty of a petty disorderly persons offense if, in a public place, and with purpose to offend the sensibilities of a hearer or in reckless disregard of the probability of so doing, he addresses unreasonably loud and offensively coarse or abusive language, given the circumstances of the person present and the setting of the utterance, to any person present.</w:t>
      </w:r>
    </w:p>
    <w:p w14:paraId="13D169CC" w14:textId="711FA811" w:rsidR="00287AA9" w:rsidRDefault="00031B01" w:rsidP="00AB1C29">
      <w:pPr>
        <w:jc w:val="both"/>
      </w:pPr>
      <w:r>
        <w:rPr>
          <w:u w:val="single"/>
        </w:rPr>
        <w:t>b</w:t>
      </w:r>
      <w:r w:rsidR="00AB1C29">
        <w:rPr>
          <w:u w:val="single"/>
        </w:rPr>
        <w:t>.</w:t>
      </w:r>
      <w:r w:rsidR="00AB1C29" w:rsidRPr="00040558">
        <w:t xml:space="preserve"> </w:t>
      </w:r>
      <w:r w:rsidR="00AB1C29">
        <w:t xml:space="preserve">“Public,” </w:t>
      </w:r>
      <w:r w:rsidR="00AB1C29">
        <w:rPr>
          <w:u w:val="single"/>
        </w:rPr>
        <w:t>as used in this section</w:t>
      </w:r>
      <w:r w:rsidR="00AB1C29">
        <w:t>, means affecting or likely to affect persons in a place to which the public or a substantial group has access; among the places included are highways, transport facilities, schools, prisons, apartment houses, places of business or amusement, or any neighborhood.</w:t>
      </w:r>
    </w:p>
    <w:p w14:paraId="51424B33" w14:textId="77777777" w:rsidR="00C67A07" w:rsidRDefault="00C67A07" w:rsidP="00C67A07">
      <w:pPr>
        <w:jc w:val="center"/>
        <w:rPr>
          <w:sz w:val="20"/>
        </w:rPr>
      </w:pPr>
      <w:r w:rsidRPr="00830224">
        <w:rPr>
          <w:sz w:val="20"/>
        </w:rPr>
        <w:t>Comment</w:t>
      </w:r>
    </w:p>
    <w:p w14:paraId="5AC4F6F0" w14:textId="3EA80335" w:rsidR="00C67A07" w:rsidRDefault="00C67A07" w:rsidP="00AB1C29">
      <w:pPr>
        <w:jc w:val="both"/>
        <w:rPr>
          <w:sz w:val="20"/>
        </w:rPr>
      </w:pPr>
      <w:r>
        <w:rPr>
          <w:sz w:val="20"/>
        </w:rPr>
        <w:t>The word “physical” has been added to clarify the type of inconvenience necessary to constitute improper behavior under section a. The term “annoyance” has be</w:t>
      </w:r>
      <w:r w:rsidR="00F3001A">
        <w:rPr>
          <w:sz w:val="20"/>
        </w:rPr>
        <w:t>e</w:t>
      </w:r>
      <w:r>
        <w:rPr>
          <w:sz w:val="20"/>
        </w:rPr>
        <w:t xml:space="preserve">n struck from this statute because of the ambiguity </w:t>
      </w:r>
      <w:r w:rsidR="00FE4C72">
        <w:rPr>
          <w:sz w:val="20"/>
        </w:rPr>
        <w:t xml:space="preserve">surrounding the definition of this subjective term. </w:t>
      </w:r>
      <w:r>
        <w:rPr>
          <w:sz w:val="20"/>
        </w:rPr>
        <w:t xml:space="preserve">Language has been added to section a. to render the statute gender neutral. </w:t>
      </w:r>
      <w:r w:rsidR="00FE4C72">
        <w:rPr>
          <w:sz w:val="20"/>
        </w:rPr>
        <w:t xml:space="preserve">The term tumultuous has been stricken from (a)(1) and language concerning excessive noise has been added to the statute as (a)(2). The previously designated section (a)(2) has been renumbered (a)(3). </w:t>
      </w:r>
    </w:p>
    <w:p w14:paraId="3A958C42" w14:textId="383C75B5" w:rsidR="00E545E2" w:rsidRPr="00E545E2" w:rsidRDefault="00E545E2" w:rsidP="00AB1C29">
      <w:pPr>
        <w:jc w:val="both"/>
        <w:rPr>
          <w:sz w:val="20"/>
          <w:szCs w:val="20"/>
        </w:rPr>
      </w:pPr>
      <w:r w:rsidRPr="00E545E2">
        <w:rPr>
          <w:sz w:val="20"/>
          <w:szCs w:val="20"/>
        </w:rPr>
        <w:t xml:space="preserve">To ensure that the statute is consistent with the holding </w:t>
      </w:r>
      <w:r w:rsidR="00B77CC8">
        <w:rPr>
          <w:sz w:val="20"/>
          <w:szCs w:val="20"/>
        </w:rPr>
        <w:t>in</w:t>
      </w:r>
      <w:r w:rsidRPr="00E545E2">
        <w:rPr>
          <w:sz w:val="20"/>
          <w:szCs w:val="20"/>
        </w:rPr>
        <w:t xml:space="preserve"> </w:t>
      </w:r>
      <w:r w:rsidRPr="00E545E2">
        <w:rPr>
          <w:i/>
          <w:sz w:val="20"/>
          <w:szCs w:val="20"/>
        </w:rPr>
        <w:t>State in the Interest of H.D.</w:t>
      </w:r>
      <w:r w:rsidRPr="00E545E2">
        <w:rPr>
          <w:sz w:val="20"/>
          <w:szCs w:val="20"/>
        </w:rPr>
        <w:t xml:space="preserve"> 206 N.J. Super. 58 (App. Div. 1985), subsection b. has been eliminated from the statute. </w:t>
      </w:r>
      <w:r w:rsidRPr="00E545E2">
        <w:rPr>
          <w:i/>
          <w:sz w:val="20"/>
          <w:szCs w:val="20"/>
        </w:rPr>
        <w:t>See</w:t>
      </w:r>
      <w:r w:rsidRPr="00E545E2">
        <w:rPr>
          <w:sz w:val="20"/>
          <w:szCs w:val="20"/>
        </w:rPr>
        <w:t xml:space="preserve"> discussion of offensive language </w:t>
      </w:r>
      <w:r w:rsidRPr="00E545E2">
        <w:rPr>
          <w:i/>
          <w:sz w:val="20"/>
          <w:szCs w:val="20"/>
        </w:rPr>
        <w:t xml:space="preserve">supra </w:t>
      </w:r>
      <w:r w:rsidRPr="00E545E2">
        <w:rPr>
          <w:sz w:val="20"/>
          <w:szCs w:val="20"/>
        </w:rPr>
        <w:t xml:space="preserve">at 8. </w:t>
      </w:r>
      <w:r w:rsidRPr="00E545E2">
        <w:rPr>
          <w:rFonts w:cs="Times New Roman"/>
          <w:i/>
          <w:sz w:val="20"/>
          <w:szCs w:val="20"/>
        </w:rPr>
        <w:t xml:space="preserve">See also State v. </w:t>
      </w:r>
      <w:proofErr w:type="spellStart"/>
      <w:r w:rsidRPr="00E545E2">
        <w:rPr>
          <w:rFonts w:cs="Times New Roman"/>
          <w:i/>
          <w:sz w:val="20"/>
          <w:szCs w:val="20"/>
        </w:rPr>
        <w:t>Skott</w:t>
      </w:r>
      <w:proofErr w:type="spellEnd"/>
      <w:r w:rsidRPr="00E545E2">
        <w:rPr>
          <w:rFonts w:cs="Times New Roman"/>
          <w:sz w:val="20"/>
          <w:szCs w:val="20"/>
        </w:rPr>
        <w:t xml:space="preserve">, 2014 WL 6634684 f.2 (Nov. 25, 2014)(Prosecutor in the Law Division dismissed the disorderly conduct charge against the defendant </w:t>
      </w:r>
      <w:r w:rsidRPr="00E545E2">
        <w:rPr>
          <w:rFonts w:cs="Times New Roman"/>
          <w:i/>
          <w:sz w:val="20"/>
          <w:szCs w:val="20"/>
        </w:rPr>
        <w:t>citing State in the interest of H.D.</w:t>
      </w:r>
      <w:r w:rsidRPr="00E545E2">
        <w:rPr>
          <w:rFonts w:cs="Times New Roman"/>
          <w:sz w:val="20"/>
          <w:szCs w:val="20"/>
        </w:rPr>
        <w:t xml:space="preserve">, 206 N.J. Super. 58, 61 (App. Div. 1985)). </w:t>
      </w:r>
      <w:r w:rsidRPr="00E545E2">
        <w:rPr>
          <w:i/>
          <w:sz w:val="20"/>
          <w:szCs w:val="20"/>
        </w:rPr>
        <w:t xml:space="preserve">See also </w:t>
      </w:r>
      <w:r w:rsidRPr="00E545E2">
        <w:rPr>
          <w:smallCaps/>
          <w:sz w:val="20"/>
          <w:szCs w:val="20"/>
        </w:rPr>
        <w:t>Cannel, Criminal Code Annotated</w:t>
      </w:r>
      <w:r w:rsidRPr="00E545E2">
        <w:rPr>
          <w:sz w:val="20"/>
          <w:szCs w:val="20"/>
        </w:rPr>
        <w:t>, Comment 3 to N.J.S. 2C:33-2(b), (</w:t>
      </w:r>
      <w:r w:rsidRPr="00E545E2">
        <w:rPr>
          <w:i/>
          <w:sz w:val="20"/>
          <w:szCs w:val="20"/>
        </w:rPr>
        <w:t xml:space="preserve">Gann), </w:t>
      </w:r>
      <w:r w:rsidRPr="00E545E2">
        <w:rPr>
          <w:sz w:val="20"/>
          <w:szCs w:val="20"/>
        </w:rPr>
        <w:t>for a thoughtful discussion on the issue of the unconstitutionality of this portion of the statute.</w:t>
      </w:r>
    </w:p>
    <w:p w14:paraId="2F2FCC02" w14:textId="77777777" w:rsidR="008D720D" w:rsidRDefault="008D720D" w:rsidP="008D720D">
      <w:pPr>
        <w:pStyle w:val="FootnoteText"/>
        <w:jc w:val="both"/>
      </w:pPr>
      <w:r>
        <w:t>The previously undesignated paragraph that appeared immediately below the now stricken section b. has been designated as subsection b. In addition, language has been added to this paragraph to clarify the definition of the word “public” as used in this statute.</w:t>
      </w:r>
    </w:p>
    <w:p w14:paraId="583C93A4" w14:textId="77777777" w:rsidR="00F9428B" w:rsidRDefault="00F9428B" w:rsidP="008D720D">
      <w:pPr>
        <w:pStyle w:val="FootnoteText"/>
        <w:jc w:val="both"/>
      </w:pPr>
    </w:p>
    <w:p w14:paraId="26F8D505" w14:textId="77777777" w:rsidR="00F9428B" w:rsidRDefault="00F9428B" w:rsidP="008D720D">
      <w:pPr>
        <w:pStyle w:val="FootnoteText"/>
        <w:jc w:val="both"/>
      </w:pPr>
    </w:p>
    <w:p w14:paraId="30A40E29" w14:textId="0970D6D2" w:rsidR="00287AA9" w:rsidRDefault="003D6FBA" w:rsidP="003D6FBA">
      <w:pPr>
        <w:spacing w:after="0" w:line="240" w:lineRule="auto"/>
        <w:rPr>
          <w:szCs w:val="24"/>
          <w:u w:val="single"/>
        </w:rPr>
      </w:pPr>
      <w:r w:rsidRPr="003041D5">
        <w:rPr>
          <w:i/>
          <w:szCs w:val="24"/>
          <w:u w:val="single"/>
        </w:rPr>
        <w:lastRenderedPageBreak/>
        <w:t xml:space="preserve">Option #3: </w:t>
      </w:r>
      <w:r w:rsidR="003041D5">
        <w:rPr>
          <w:i/>
          <w:szCs w:val="24"/>
          <w:u w:val="single"/>
        </w:rPr>
        <w:t>(</w:t>
      </w:r>
      <w:r w:rsidR="00287AA9" w:rsidRPr="003041D5">
        <w:rPr>
          <w:i/>
          <w:szCs w:val="24"/>
          <w:u w:val="single"/>
        </w:rPr>
        <w:t>Inclusion of</w:t>
      </w:r>
      <w:r w:rsidR="0023287B" w:rsidRPr="003041D5">
        <w:rPr>
          <w:i/>
          <w:szCs w:val="24"/>
          <w:u w:val="single"/>
        </w:rPr>
        <w:t xml:space="preserve"> </w:t>
      </w:r>
      <w:r w:rsidR="00287AA9" w:rsidRPr="003041D5">
        <w:rPr>
          <w:i/>
          <w:szCs w:val="24"/>
          <w:u w:val="single"/>
        </w:rPr>
        <w:t>Definition Section</w:t>
      </w:r>
      <w:r w:rsidR="003041D5">
        <w:rPr>
          <w:i/>
          <w:szCs w:val="24"/>
          <w:u w:val="single"/>
        </w:rPr>
        <w:t>)</w:t>
      </w:r>
    </w:p>
    <w:p w14:paraId="48EDE0EC" w14:textId="77777777" w:rsidR="003041D5" w:rsidRDefault="003041D5" w:rsidP="003D6FBA">
      <w:pPr>
        <w:spacing w:after="0" w:line="240" w:lineRule="auto"/>
        <w:rPr>
          <w:szCs w:val="24"/>
          <w:u w:val="single"/>
        </w:rPr>
      </w:pPr>
    </w:p>
    <w:p w14:paraId="68DAA522" w14:textId="4FFABE2C" w:rsidR="003041D5" w:rsidRPr="003041D5" w:rsidRDefault="003041D5" w:rsidP="003D6FBA">
      <w:pPr>
        <w:spacing w:after="0" w:line="240" w:lineRule="auto"/>
        <w:rPr>
          <w:szCs w:val="24"/>
          <w:u w:val="single"/>
        </w:rPr>
      </w:pPr>
      <w:r w:rsidRPr="003041D5">
        <w:rPr>
          <w:b/>
        </w:rPr>
        <w:t>2C:33-2. Disorderly conduct</w:t>
      </w:r>
    </w:p>
    <w:p w14:paraId="20C01170" w14:textId="77777777" w:rsidR="00287AA9" w:rsidRDefault="00287AA9" w:rsidP="00287AA9">
      <w:pPr>
        <w:spacing w:after="0" w:line="240" w:lineRule="auto"/>
        <w:jc w:val="center"/>
        <w:rPr>
          <w:b/>
          <w:sz w:val="28"/>
        </w:rPr>
      </w:pPr>
    </w:p>
    <w:p w14:paraId="1757DBF3" w14:textId="77777777" w:rsidR="00287AA9" w:rsidRPr="00400C21" w:rsidRDefault="00287AA9" w:rsidP="00287AA9">
      <w:pPr>
        <w:jc w:val="both"/>
        <w:rPr>
          <w:u w:val="single"/>
        </w:rPr>
      </w:pPr>
      <w:r>
        <w:t xml:space="preserve">a. Improper behavior. A person is guilty of a petty disorderly persons offense, if with purpose to cause public </w:t>
      </w:r>
      <w:r>
        <w:rPr>
          <w:u w:val="single"/>
        </w:rPr>
        <w:t>physical</w:t>
      </w:r>
      <w:r>
        <w:t xml:space="preserve"> inconvenience</w:t>
      </w:r>
      <w:r w:rsidRPr="0094780D">
        <w:rPr>
          <w:strike/>
        </w:rPr>
        <w:t>, annoyance</w:t>
      </w:r>
      <w:r>
        <w:t xml:space="preserve"> or alarm, or recklessly creating a risk thereof he </w:t>
      </w:r>
      <w:r>
        <w:rPr>
          <w:u w:val="single"/>
        </w:rPr>
        <w:t>or she</w:t>
      </w:r>
    </w:p>
    <w:p w14:paraId="209DB72C" w14:textId="22B09708" w:rsidR="00287AA9" w:rsidRDefault="00287AA9" w:rsidP="00287AA9">
      <w:pPr>
        <w:ind w:firstLine="720"/>
        <w:jc w:val="both"/>
      </w:pPr>
      <w:r>
        <w:t>(1) Engages in fighting</w:t>
      </w:r>
      <w:r w:rsidR="000A575F">
        <w:rPr>
          <w:u w:val="single"/>
        </w:rPr>
        <w:t>,</w:t>
      </w:r>
      <w:r>
        <w:t xml:space="preserve"> </w:t>
      </w:r>
      <w:r w:rsidRPr="000A575F">
        <w:rPr>
          <w:strike/>
        </w:rPr>
        <w:t>or</w:t>
      </w:r>
      <w:r>
        <w:t xml:space="preserve"> threatening, </w:t>
      </w:r>
      <w:r w:rsidRPr="000A575F">
        <w:rPr>
          <w:strike/>
        </w:rPr>
        <w:t>or in</w:t>
      </w:r>
      <w:r w:rsidRPr="000A575F">
        <w:t xml:space="preserve"> </w:t>
      </w:r>
      <w:r>
        <w:t xml:space="preserve">violent </w:t>
      </w:r>
      <w:r w:rsidR="00E545E2">
        <w:t>[</w:t>
      </w:r>
      <w:r w:rsidRPr="0002377B">
        <w:t>or tumultuous</w:t>
      </w:r>
      <w:r w:rsidR="00E545E2">
        <w:t>]</w:t>
      </w:r>
      <w:r>
        <w:t xml:space="preserve"> behavior; or</w:t>
      </w:r>
    </w:p>
    <w:p w14:paraId="5D88C7CF" w14:textId="09E4DA73" w:rsidR="00287AA9" w:rsidRPr="00AB1C29" w:rsidRDefault="00287AA9" w:rsidP="00287AA9">
      <w:pPr>
        <w:ind w:firstLine="720"/>
        <w:jc w:val="both"/>
        <w:rPr>
          <w:u w:val="single"/>
        </w:rPr>
      </w:pPr>
      <w:r w:rsidRPr="00AB1C29">
        <w:rPr>
          <w:u w:val="single"/>
        </w:rPr>
        <w:t>(2) Creates excessive and unreasonable noise; or</w:t>
      </w:r>
    </w:p>
    <w:p w14:paraId="63662C36" w14:textId="510E25F4" w:rsidR="00287AA9" w:rsidRDefault="00287AA9" w:rsidP="00287AA9">
      <w:pPr>
        <w:ind w:firstLine="720"/>
        <w:jc w:val="both"/>
      </w:pPr>
      <w:r w:rsidRPr="00AB1C29">
        <w:rPr>
          <w:u w:val="single"/>
        </w:rPr>
        <w:t>(3)</w:t>
      </w:r>
      <w:r>
        <w:t xml:space="preserve"> Creates a hazardous or physically dangerous condition by any act which serves no legitimate purpose of the actor.</w:t>
      </w:r>
    </w:p>
    <w:p w14:paraId="61BAEF8D" w14:textId="77777777" w:rsidR="00287AA9" w:rsidRPr="000A575F" w:rsidRDefault="00287AA9" w:rsidP="00287AA9">
      <w:pPr>
        <w:jc w:val="both"/>
        <w:rPr>
          <w:strike/>
        </w:rPr>
      </w:pPr>
      <w:r w:rsidRPr="000A575F">
        <w:rPr>
          <w:strike/>
        </w:rPr>
        <w:t>b. Offensive language. A person is guilty of a petty disorderly persons offense if, in a public place, and with purpose to offend the sensibilities of a hearer or in reckless disregard of the probability of so doing, he addresses unreasonably loud and offensively coarse or abusive language, given the circumstances of the person present and the setting of the utterance, to any person present.</w:t>
      </w:r>
    </w:p>
    <w:p w14:paraId="415D76A8" w14:textId="0E21D20F" w:rsidR="00E14B32" w:rsidRDefault="000A575F" w:rsidP="00287AA9">
      <w:pPr>
        <w:jc w:val="both"/>
      </w:pPr>
      <w:r>
        <w:rPr>
          <w:u w:val="single"/>
        </w:rPr>
        <w:t>b</w:t>
      </w:r>
      <w:r w:rsidR="00287AA9">
        <w:rPr>
          <w:u w:val="single"/>
        </w:rPr>
        <w:t>.</w:t>
      </w:r>
      <w:r w:rsidR="00287AA9" w:rsidRPr="00040558">
        <w:t xml:space="preserve"> </w:t>
      </w:r>
      <w:r w:rsidR="00287AA9">
        <w:t xml:space="preserve">“Public,” </w:t>
      </w:r>
      <w:r w:rsidR="00287AA9">
        <w:rPr>
          <w:u w:val="single"/>
        </w:rPr>
        <w:t>as used in this section</w:t>
      </w:r>
      <w:r w:rsidR="00287AA9">
        <w:t>, means affecting or likely to affect persons in a place to which the public or a substantial group has access; among the places included are highways, transport facilities, schools, prisons, apartment houses, places of business or amusement, or any neighborhood.</w:t>
      </w:r>
    </w:p>
    <w:p w14:paraId="414F503F" w14:textId="692A3ED9" w:rsidR="00701E82" w:rsidRDefault="000A575F" w:rsidP="00D84595">
      <w:pPr>
        <w:jc w:val="both"/>
        <w:rPr>
          <w:u w:val="single"/>
        </w:rPr>
      </w:pPr>
      <w:r>
        <w:rPr>
          <w:u w:val="single"/>
        </w:rPr>
        <w:t>c</w:t>
      </w:r>
      <w:r w:rsidR="00287AA9">
        <w:rPr>
          <w:u w:val="single"/>
        </w:rPr>
        <w:t xml:space="preserve">. “Tumultuous </w:t>
      </w:r>
      <w:r>
        <w:rPr>
          <w:u w:val="single"/>
        </w:rPr>
        <w:t>behavior</w:t>
      </w:r>
      <w:r w:rsidR="00287AA9">
        <w:rPr>
          <w:u w:val="single"/>
        </w:rPr>
        <w:t>,” as used in this section, means conduct that results in, or is likely to result in</w:t>
      </w:r>
      <w:r w:rsidR="00E42365">
        <w:rPr>
          <w:u w:val="single"/>
        </w:rPr>
        <w:t>:</w:t>
      </w:r>
    </w:p>
    <w:p w14:paraId="5357ABB2" w14:textId="77777777" w:rsidR="00701E82" w:rsidRDefault="00701E82" w:rsidP="00701E82">
      <w:pPr>
        <w:ind w:firstLine="720"/>
        <w:jc w:val="both"/>
        <w:rPr>
          <w:u w:val="single"/>
        </w:rPr>
      </w:pPr>
      <w:r>
        <w:rPr>
          <w:u w:val="single"/>
        </w:rPr>
        <w:t xml:space="preserve">(1) </w:t>
      </w:r>
      <w:r w:rsidR="00287AA9">
        <w:rPr>
          <w:u w:val="single"/>
        </w:rPr>
        <w:t>bodily injury to a person</w:t>
      </w:r>
      <w:r>
        <w:rPr>
          <w:u w:val="single"/>
        </w:rPr>
        <w:t>;</w:t>
      </w:r>
      <w:r w:rsidR="00287AA9">
        <w:rPr>
          <w:u w:val="single"/>
        </w:rPr>
        <w:t xml:space="preserve"> or</w:t>
      </w:r>
      <w:r>
        <w:rPr>
          <w:u w:val="single"/>
        </w:rPr>
        <w:t>,</w:t>
      </w:r>
    </w:p>
    <w:p w14:paraId="4FF345A5" w14:textId="14C1B40C" w:rsidR="00E14B32" w:rsidRDefault="00701E82" w:rsidP="00701E82">
      <w:pPr>
        <w:ind w:firstLine="720"/>
        <w:jc w:val="both"/>
      </w:pPr>
      <w:r>
        <w:rPr>
          <w:u w:val="single"/>
        </w:rPr>
        <w:t>(2)</w:t>
      </w:r>
      <w:r w:rsidR="00287AA9">
        <w:rPr>
          <w:u w:val="single"/>
        </w:rPr>
        <w:t xml:space="preserve"> substantial damage to property.</w:t>
      </w:r>
      <w:r w:rsidR="00287AA9">
        <w:t xml:space="preserve"> </w:t>
      </w:r>
    </w:p>
    <w:p w14:paraId="1799A0D9" w14:textId="77777777" w:rsidR="00FE4C72" w:rsidRDefault="00FE4C72" w:rsidP="00FE4C72">
      <w:pPr>
        <w:jc w:val="center"/>
        <w:rPr>
          <w:sz w:val="20"/>
        </w:rPr>
      </w:pPr>
      <w:r w:rsidRPr="00830224">
        <w:rPr>
          <w:sz w:val="20"/>
        </w:rPr>
        <w:t>Comment</w:t>
      </w:r>
    </w:p>
    <w:p w14:paraId="44BFFDC4" w14:textId="77777777" w:rsidR="00031B01" w:rsidRDefault="00FE4C72" w:rsidP="00FE4C72">
      <w:pPr>
        <w:jc w:val="both"/>
        <w:rPr>
          <w:sz w:val="20"/>
        </w:rPr>
      </w:pPr>
      <w:r>
        <w:rPr>
          <w:sz w:val="20"/>
        </w:rPr>
        <w:t>The word “physical” has been added to clarify the type of inconvenience necessary to constitute improper behavior under section a. The term “annoyance” has be</w:t>
      </w:r>
      <w:r w:rsidR="000A575F">
        <w:rPr>
          <w:sz w:val="20"/>
        </w:rPr>
        <w:t>en</w:t>
      </w:r>
      <w:r>
        <w:rPr>
          <w:sz w:val="20"/>
        </w:rPr>
        <w:t xml:space="preserve"> struck from this statute because of the ambiguity surrounding the definition of this subjective term. Language has been added to section a. to render the statute gender neutral. The language concerning excessive noise </w:t>
      </w:r>
      <w:r w:rsidR="000A575F">
        <w:rPr>
          <w:sz w:val="20"/>
        </w:rPr>
        <w:t>has</w:t>
      </w:r>
      <w:r>
        <w:rPr>
          <w:sz w:val="20"/>
        </w:rPr>
        <w:t xml:space="preserve"> be</w:t>
      </w:r>
      <w:r w:rsidR="000A575F">
        <w:rPr>
          <w:sz w:val="20"/>
        </w:rPr>
        <w:t>en</w:t>
      </w:r>
      <w:r>
        <w:rPr>
          <w:sz w:val="20"/>
        </w:rPr>
        <w:t xml:space="preserve"> added to the statute as (a)(2). The previously designated section (a)(2) </w:t>
      </w:r>
      <w:r w:rsidR="000A575F" w:rsidRPr="000A575F">
        <w:rPr>
          <w:sz w:val="20"/>
        </w:rPr>
        <w:t>has</w:t>
      </w:r>
      <w:r>
        <w:rPr>
          <w:sz w:val="20"/>
        </w:rPr>
        <w:t xml:space="preserve"> been renumbered (a)(3). </w:t>
      </w:r>
    </w:p>
    <w:p w14:paraId="471D4875" w14:textId="19DCCCB7" w:rsidR="00031B01" w:rsidRDefault="00E545E2" w:rsidP="00FE4C72">
      <w:pPr>
        <w:jc w:val="both"/>
        <w:rPr>
          <w:sz w:val="20"/>
          <w:szCs w:val="20"/>
        </w:rPr>
      </w:pPr>
      <w:r w:rsidRPr="00B77CC8">
        <w:rPr>
          <w:sz w:val="20"/>
          <w:szCs w:val="20"/>
        </w:rPr>
        <w:t xml:space="preserve">To ensure that the statute is consistent with the holding </w:t>
      </w:r>
      <w:r w:rsidR="00B77CC8">
        <w:rPr>
          <w:sz w:val="20"/>
          <w:szCs w:val="20"/>
        </w:rPr>
        <w:t>in</w:t>
      </w:r>
      <w:r w:rsidRPr="00B77CC8">
        <w:rPr>
          <w:sz w:val="20"/>
          <w:szCs w:val="20"/>
        </w:rPr>
        <w:t xml:space="preserve"> </w:t>
      </w:r>
      <w:r w:rsidRPr="00B77CC8">
        <w:rPr>
          <w:i/>
          <w:sz w:val="20"/>
          <w:szCs w:val="20"/>
        </w:rPr>
        <w:t>State in the Interest of H.D.</w:t>
      </w:r>
      <w:r w:rsidRPr="00B77CC8">
        <w:rPr>
          <w:sz w:val="20"/>
          <w:szCs w:val="20"/>
        </w:rPr>
        <w:t xml:space="preserve"> 206 N.J. Super. 58 (App. Div. 1985), subsection b. has been eliminated from the statute. </w:t>
      </w:r>
      <w:r w:rsidRPr="00B77CC8">
        <w:rPr>
          <w:i/>
          <w:sz w:val="20"/>
          <w:szCs w:val="20"/>
        </w:rPr>
        <w:t>See</w:t>
      </w:r>
      <w:r w:rsidRPr="00B77CC8">
        <w:rPr>
          <w:sz w:val="20"/>
          <w:szCs w:val="20"/>
        </w:rPr>
        <w:t xml:space="preserve"> discussion of offensive language </w:t>
      </w:r>
      <w:r w:rsidRPr="00B77CC8">
        <w:rPr>
          <w:i/>
          <w:sz w:val="20"/>
          <w:szCs w:val="20"/>
        </w:rPr>
        <w:t xml:space="preserve">supra </w:t>
      </w:r>
      <w:r w:rsidRPr="00B77CC8">
        <w:rPr>
          <w:sz w:val="20"/>
          <w:szCs w:val="20"/>
        </w:rPr>
        <w:t xml:space="preserve">at 8. </w:t>
      </w:r>
      <w:r w:rsidRPr="00B77CC8">
        <w:rPr>
          <w:rFonts w:cs="Times New Roman"/>
          <w:i/>
          <w:sz w:val="20"/>
          <w:szCs w:val="20"/>
        </w:rPr>
        <w:t xml:space="preserve">See also State v. </w:t>
      </w:r>
      <w:proofErr w:type="spellStart"/>
      <w:r w:rsidRPr="00B77CC8">
        <w:rPr>
          <w:rFonts w:cs="Times New Roman"/>
          <w:i/>
          <w:sz w:val="20"/>
          <w:szCs w:val="20"/>
        </w:rPr>
        <w:t>Skott</w:t>
      </w:r>
      <w:proofErr w:type="spellEnd"/>
      <w:r w:rsidRPr="00B77CC8">
        <w:rPr>
          <w:rFonts w:cs="Times New Roman"/>
          <w:sz w:val="20"/>
          <w:szCs w:val="20"/>
        </w:rPr>
        <w:t>, 2014 WL 6634684 f.2 (Nov. 25, 2014)</w:t>
      </w:r>
      <w:r w:rsidR="00D30DF6">
        <w:rPr>
          <w:rFonts w:cs="Times New Roman"/>
          <w:sz w:val="20"/>
          <w:szCs w:val="20"/>
        </w:rPr>
        <w:t xml:space="preserve"> </w:t>
      </w:r>
      <w:r w:rsidRPr="00B77CC8">
        <w:rPr>
          <w:rFonts w:cs="Times New Roman"/>
          <w:sz w:val="20"/>
          <w:szCs w:val="20"/>
        </w:rPr>
        <w:t xml:space="preserve">(Prosecutor in the Law Division dismissed the disorderly conduct charge against the defendant </w:t>
      </w:r>
      <w:r w:rsidRPr="00B77CC8">
        <w:rPr>
          <w:rFonts w:cs="Times New Roman"/>
          <w:i/>
          <w:sz w:val="20"/>
          <w:szCs w:val="20"/>
        </w:rPr>
        <w:t>citing State in the interest of H.D.</w:t>
      </w:r>
      <w:r w:rsidRPr="00B77CC8">
        <w:rPr>
          <w:rFonts w:cs="Times New Roman"/>
          <w:sz w:val="20"/>
          <w:szCs w:val="20"/>
        </w:rPr>
        <w:t xml:space="preserve">, 206 N.J. Super. 58, 61 (App. Div. 1985)). </w:t>
      </w:r>
      <w:r w:rsidRPr="00B77CC8">
        <w:rPr>
          <w:i/>
          <w:sz w:val="20"/>
          <w:szCs w:val="20"/>
        </w:rPr>
        <w:lastRenderedPageBreak/>
        <w:t xml:space="preserve">See also </w:t>
      </w:r>
      <w:r w:rsidRPr="00B77CC8">
        <w:rPr>
          <w:smallCaps/>
          <w:sz w:val="20"/>
          <w:szCs w:val="20"/>
        </w:rPr>
        <w:t>Cannel, Criminal Code Annotated</w:t>
      </w:r>
      <w:r w:rsidRPr="00B77CC8">
        <w:rPr>
          <w:sz w:val="20"/>
          <w:szCs w:val="20"/>
        </w:rPr>
        <w:t>, Comment 3 to N.J.S. 2C:33-2(b), (</w:t>
      </w:r>
      <w:r w:rsidRPr="00B77CC8">
        <w:rPr>
          <w:i/>
          <w:sz w:val="20"/>
          <w:szCs w:val="20"/>
        </w:rPr>
        <w:t xml:space="preserve">Gann), </w:t>
      </w:r>
      <w:r w:rsidRPr="00B77CC8">
        <w:rPr>
          <w:sz w:val="20"/>
          <w:szCs w:val="20"/>
        </w:rPr>
        <w:t>for a thoughtful discussion on the issue of the unconstitutionality of this portion of the statute.</w:t>
      </w:r>
      <w:r w:rsidR="008D720D">
        <w:rPr>
          <w:sz w:val="20"/>
          <w:szCs w:val="20"/>
        </w:rPr>
        <w:t xml:space="preserve"> </w:t>
      </w:r>
      <w:r w:rsidR="001261C6" w:rsidRPr="00B77CC8">
        <w:rPr>
          <w:sz w:val="20"/>
          <w:szCs w:val="20"/>
        </w:rPr>
        <w:t>S</w:t>
      </w:r>
      <w:r w:rsidR="00FE4C72" w:rsidRPr="00B77CC8">
        <w:rPr>
          <w:sz w:val="20"/>
          <w:szCs w:val="20"/>
        </w:rPr>
        <w:t xml:space="preserve">ection b. </w:t>
      </w:r>
      <w:r w:rsidR="001261C6" w:rsidRPr="00B77CC8">
        <w:rPr>
          <w:sz w:val="20"/>
          <w:szCs w:val="20"/>
        </w:rPr>
        <w:t>now clarifies the meaning of the word public as used in this statute.</w:t>
      </w:r>
      <w:r w:rsidR="00FE4C72" w:rsidRPr="00B77CC8">
        <w:rPr>
          <w:sz w:val="20"/>
          <w:szCs w:val="20"/>
        </w:rPr>
        <w:t xml:space="preserve"> </w:t>
      </w:r>
    </w:p>
    <w:p w14:paraId="779E320B" w14:textId="0AF2BD2C" w:rsidR="008D720D" w:rsidRDefault="008D720D" w:rsidP="008D720D">
      <w:pPr>
        <w:pStyle w:val="FootnoteText"/>
        <w:jc w:val="both"/>
      </w:pPr>
      <w:r>
        <w:t>The previously undesignated paragraph that appeared immediately below the now stricken section b. has been designated as subsection b. In addition, language has been added to this paragraph to clarify the definition of the word “public” as used in this statute.</w:t>
      </w:r>
    </w:p>
    <w:p w14:paraId="1D4FE720" w14:textId="77777777" w:rsidR="008D720D" w:rsidRDefault="008D720D" w:rsidP="008D720D">
      <w:pPr>
        <w:pStyle w:val="FootnoteText"/>
        <w:jc w:val="both"/>
      </w:pPr>
    </w:p>
    <w:p w14:paraId="7BBC66D7" w14:textId="160E1A5A" w:rsidR="00FE4C72" w:rsidRPr="00701E82" w:rsidRDefault="00046048" w:rsidP="00FE4C72">
      <w:pPr>
        <w:jc w:val="both"/>
      </w:pPr>
      <w:r w:rsidRPr="00B77CC8">
        <w:rPr>
          <w:sz w:val="20"/>
          <w:szCs w:val="20"/>
        </w:rPr>
        <w:t>T</w:t>
      </w:r>
      <w:r w:rsidR="002627C9" w:rsidRPr="00B77CC8">
        <w:rPr>
          <w:sz w:val="20"/>
          <w:szCs w:val="20"/>
        </w:rPr>
        <w:t xml:space="preserve">he term </w:t>
      </w:r>
      <w:r w:rsidRPr="00B77CC8">
        <w:rPr>
          <w:sz w:val="20"/>
          <w:szCs w:val="20"/>
        </w:rPr>
        <w:t>“</w:t>
      </w:r>
      <w:r w:rsidR="002627C9" w:rsidRPr="00B77CC8">
        <w:rPr>
          <w:sz w:val="20"/>
          <w:szCs w:val="20"/>
        </w:rPr>
        <w:t xml:space="preserve">tumultuous </w:t>
      </w:r>
      <w:r w:rsidRPr="00B77CC8">
        <w:rPr>
          <w:sz w:val="20"/>
          <w:szCs w:val="20"/>
        </w:rPr>
        <w:t>behavior”</w:t>
      </w:r>
      <w:r w:rsidR="002627C9" w:rsidRPr="00B77CC8">
        <w:rPr>
          <w:sz w:val="20"/>
          <w:szCs w:val="20"/>
        </w:rPr>
        <w:t xml:space="preserve"> is defined in a newly created section </w:t>
      </w:r>
      <w:r w:rsidR="000A575F" w:rsidRPr="00B77CC8">
        <w:rPr>
          <w:sz w:val="20"/>
          <w:szCs w:val="20"/>
        </w:rPr>
        <w:t>c</w:t>
      </w:r>
      <w:r w:rsidR="002627C9" w:rsidRPr="00B77CC8">
        <w:rPr>
          <w:sz w:val="20"/>
          <w:szCs w:val="20"/>
        </w:rPr>
        <w:t xml:space="preserve">. The definition </w:t>
      </w:r>
      <w:r w:rsidRPr="00B77CC8">
        <w:rPr>
          <w:sz w:val="20"/>
          <w:szCs w:val="20"/>
        </w:rPr>
        <w:t xml:space="preserve">derived from </w:t>
      </w:r>
      <w:r w:rsidR="002627C9" w:rsidRPr="00B77CC8">
        <w:rPr>
          <w:sz w:val="20"/>
          <w:szCs w:val="20"/>
        </w:rPr>
        <w:t>the Indiana Code, IC 35-45-1-1 Sec. 1</w:t>
      </w:r>
      <w:r w:rsidR="00701E82" w:rsidRPr="00B77CC8">
        <w:rPr>
          <w:sz w:val="20"/>
          <w:szCs w:val="20"/>
        </w:rPr>
        <w:t xml:space="preserve">, has been modified </w:t>
      </w:r>
      <w:r w:rsidR="00E42365" w:rsidRPr="00B77CC8">
        <w:rPr>
          <w:sz w:val="20"/>
          <w:szCs w:val="20"/>
        </w:rPr>
        <w:t>herein to remove the term “serious” from the bodily injury reference</w:t>
      </w:r>
      <w:r w:rsidR="001261C6" w:rsidRPr="00B77CC8">
        <w:rPr>
          <w:sz w:val="20"/>
          <w:szCs w:val="20"/>
        </w:rPr>
        <w:t xml:space="preserve"> because the term “serious bodily injury” is a defined in N.J.S. 2C:1-11(b) and its use would be inappropriate in this statute. </w:t>
      </w:r>
      <w:r w:rsidR="001261C6" w:rsidRPr="00B77CC8">
        <w:rPr>
          <w:i/>
          <w:sz w:val="20"/>
          <w:szCs w:val="20"/>
        </w:rPr>
        <w:t xml:space="preserve">See </w:t>
      </w:r>
      <w:r w:rsidR="001261C6" w:rsidRPr="00B77CC8">
        <w:rPr>
          <w:sz w:val="20"/>
          <w:szCs w:val="20"/>
        </w:rPr>
        <w:t xml:space="preserve">n. 39, </w:t>
      </w:r>
      <w:r w:rsidR="001261C6" w:rsidRPr="00B77CC8">
        <w:rPr>
          <w:i/>
          <w:sz w:val="20"/>
          <w:szCs w:val="20"/>
        </w:rPr>
        <w:t>supra.</w:t>
      </w:r>
      <w:r w:rsidR="001261C6">
        <w:rPr>
          <w:i/>
          <w:sz w:val="20"/>
        </w:rPr>
        <w:t xml:space="preserve"> </w:t>
      </w:r>
      <w:r w:rsidR="001261C6">
        <w:rPr>
          <w:sz w:val="20"/>
        </w:rPr>
        <w:t xml:space="preserve"> </w:t>
      </w:r>
      <w:r w:rsidR="00E42365">
        <w:rPr>
          <w:sz w:val="20"/>
        </w:rPr>
        <w:t xml:space="preserve"> </w:t>
      </w:r>
    </w:p>
    <w:p w14:paraId="70E18AE0" w14:textId="77777777" w:rsidR="00FE4C72" w:rsidRPr="00287AA9" w:rsidRDefault="00FE4C72" w:rsidP="00D84595">
      <w:pPr>
        <w:jc w:val="both"/>
      </w:pPr>
    </w:p>
    <w:sectPr w:rsidR="00FE4C72" w:rsidRPr="00287AA9" w:rsidSect="009F59DF">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34898" w14:textId="77777777" w:rsidR="00E521AE" w:rsidRDefault="00E521AE" w:rsidP="005750AF">
      <w:pPr>
        <w:spacing w:after="0" w:line="240" w:lineRule="auto"/>
      </w:pPr>
      <w:r>
        <w:separator/>
      </w:r>
    </w:p>
  </w:endnote>
  <w:endnote w:type="continuationSeparator" w:id="0">
    <w:p w14:paraId="2C831948" w14:textId="77777777" w:rsidR="00E521AE" w:rsidRDefault="00E521AE" w:rsidP="0057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BD15" w14:textId="77777777" w:rsidR="00E521AE" w:rsidRDefault="00E521AE" w:rsidP="009F59DF">
    <w:pPr>
      <w:pStyle w:val="Footer"/>
      <w:tabs>
        <w:tab w:val="clear" w:pos="4680"/>
        <w:tab w:val="clear" w:pos="9360"/>
      </w:tabs>
      <w:jc w:val="center"/>
      <w:rPr>
        <w:color w:val="000000" w:themeColor="text1"/>
        <w:sz w:val="20"/>
        <w:szCs w:val="20"/>
      </w:rPr>
    </w:pPr>
  </w:p>
  <w:p w14:paraId="5EACC204" w14:textId="77777777" w:rsidR="00E521AE" w:rsidRDefault="00E521AE" w:rsidP="009F59DF">
    <w:pPr>
      <w:pStyle w:val="Footer"/>
      <w:tabs>
        <w:tab w:val="clear" w:pos="4680"/>
        <w:tab w:val="clear" w:pos="9360"/>
      </w:tabs>
      <w:jc w:val="center"/>
      <w:rPr>
        <w:color w:val="000000" w:themeColor="text1"/>
        <w:sz w:val="20"/>
        <w:szCs w:val="20"/>
      </w:rPr>
    </w:pPr>
  </w:p>
  <w:p w14:paraId="5792A201" w14:textId="78CFCA0D" w:rsidR="00E521AE" w:rsidRPr="00F827A6" w:rsidRDefault="00E521AE" w:rsidP="009F59DF">
    <w:pPr>
      <w:pStyle w:val="Footer"/>
      <w:tabs>
        <w:tab w:val="clear" w:pos="4680"/>
        <w:tab w:val="clear" w:pos="9360"/>
      </w:tabs>
      <w:jc w:val="center"/>
      <w:rPr>
        <w:rFonts w:asciiTheme="majorHAnsi" w:eastAsiaTheme="majorEastAsia" w:hAnsiTheme="majorHAnsi" w:cstheme="majorBidi"/>
        <w:sz w:val="20"/>
        <w:szCs w:val="20"/>
      </w:rPr>
    </w:pPr>
    <w:r>
      <w:rPr>
        <w:color w:val="000000" w:themeColor="text1"/>
        <w:sz w:val="20"/>
        <w:szCs w:val="20"/>
      </w:rPr>
      <w:t>Definition of “Public” and “Tumultuous”</w:t>
    </w:r>
    <w:r w:rsidRPr="00F827A6">
      <w:rPr>
        <w:color w:val="000000" w:themeColor="text1"/>
        <w:sz w:val="20"/>
        <w:szCs w:val="20"/>
      </w:rPr>
      <w:t xml:space="preserve"> </w:t>
    </w:r>
    <w:r>
      <w:rPr>
        <w:color w:val="000000" w:themeColor="text1"/>
        <w:sz w:val="20"/>
        <w:szCs w:val="20"/>
      </w:rPr>
      <w:t xml:space="preserve">– </w:t>
    </w:r>
    <w:r w:rsidR="009175FD">
      <w:rPr>
        <w:color w:val="000000" w:themeColor="text1"/>
        <w:sz w:val="20"/>
        <w:szCs w:val="20"/>
      </w:rPr>
      <w:t>Draft Tentative Report</w:t>
    </w:r>
    <w:r w:rsidR="009175FD" w:rsidRPr="00F827A6">
      <w:rPr>
        <w:color w:val="000000" w:themeColor="text1"/>
        <w:sz w:val="20"/>
        <w:szCs w:val="20"/>
      </w:rPr>
      <w:t xml:space="preserve"> –</w:t>
    </w:r>
    <w:r w:rsidR="009175FD">
      <w:rPr>
        <w:color w:val="000000" w:themeColor="text1"/>
        <w:sz w:val="20"/>
        <w:szCs w:val="20"/>
      </w:rPr>
      <w:t xml:space="preserve"> </w:t>
    </w:r>
    <w:r w:rsidR="008D720D">
      <w:rPr>
        <w:rFonts w:eastAsiaTheme="majorEastAsia" w:cs="Times New Roman"/>
        <w:sz w:val="20"/>
        <w:szCs w:val="20"/>
      </w:rPr>
      <w:t>May 06</w:t>
    </w:r>
    <w:r>
      <w:rPr>
        <w:rFonts w:eastAsiaTheme="majorEastAsia" w:cs="Times New Roman"/>
        <w:sz w:val="20"/>
        <w:szCs w:val="20"/>
      </w:rPr>
      <w:t xml:space="preserve">, 2018 - </w:t>
    </w:r>
    <w:r w:rsidRPr="00F827A6">
      <w:rPr>
        <w:rFonts w:eastAsiaTheme="majorEastAsia" w:cs="Times New Roman"/>
        <w:sz w:val="20"/>
        <w:szCs w:val="20"/>
      </w:rPr>
      <w:t xml:space="preserve">Page </w:t>
    </w:r>
    <w:sdt>
      <w:sdtPr>
        <w:rPr>
          <w:rFonts w:eastAsiaTheme="majorEastAsia" w:cs="Times New Roman"/>
          <w:sz w:val="20"/>
          <w:szCs w:val="20"/>
        </w:rPr>
        <w:id w:val="-999964318"/>
        <w:docPartObj>
          <w:docPartGallery w:val="Page Numbers (Margins)"/>
          <w:docPartUnique/>
        </w:docPartObj>
      </w:sdtPr>
      <w:sdtEndPr>
        <w:rPr>
          <w:rFonts w:asciiTheme="majorHAnsi" w:hAnsiTheme="majorHAnsi" w:cstheme="majorBidi"/>
        </w:rPr>
      </w:sdtEndPr>
      <w:sdtContent>
        <w:sdt>
          <w:sdtPr>
            <w:rPr>
              <w:rFonts w:eastAsiaTheme="majorEastAsia" w:cs="Times New Roman"/>
              <w:sz w:val="20"/>
              <w:szCs w:val="20"/>
            </w:rPr>
            <w:id w:val="574478829"/>
            <w:docPartObj>
              <w:docPartGallery w:val="Page Numbers (Margins)"/>
              <w:docPartUnique/>
            </w:docPartObj>
          </w:sdtPr>
          <w:sdtEndPr>
            <w:rPr>
              <w:rFonts w:asciiTheme="majorHAnsi" w:hAnsiTheme="majorHAnsi" w:cstheme="majorBidi"/>
            </w:rPr>
          </w:sdtEndPr>
          <w:sdtContent>
            <w:r w:rsidRPr="00F827A6">
              <w:rPr>
                <w:rFonts w:eastAsiaTheme="minorEastAsia" w:cs="Times New Roman"/>
                <w:sz w:val="20"/>
                <w:szCs w:val="20"/>
              </w:rPr>
              <w:fldChar w:fldCharType="begin"/>
            </w:r>
            <w:r w:rsidRPr="00F827A6">
              <w:rPr>
                <w:rFonts w:cs="Times New Roman"/>
                <w:sz w:val="20"/>
                <w:szCs w:val="20"/>
              </w:rPr>
              <w:instrText xml:space="preserve"> PAGE   \* MERGEFORMAT </w:instrText>
            </w:r>
            <w:r w:rsidRPr="00F827A6">
              <w:rPr>
                <w:rFonts w:eastAsiaTheme="minorEastAsia" w:cs="Times New Roman"/>
                <w:sz w:val="20"/>
                <w:szCs w:val="20"/>
              </w:rPr>
              <w:fldChar w:fldCharType="separate"/>
            </w:r>
            <w:r w:rsidR="00452C8E" w:rsidRPr="00452C8E">
              <w:rPr>
                <w:rFonts w:eastAsiaTheme="majorEastAsia" w:cs="Times New Roman"/>
                <w:noProof/>
                <w:sz w:val="20"/>
                <w:szCs w:val="20"/>
              </w:rPr>
              <w:t>9</w:t>
            </w:r>
            <w:r w:rsidRPr="00F827A6">
              <w:rPr>
                <w:rFonts w:eastAsiaTheme="majorEastAsia" w:cs="Times New Roman"/>
                <w:noProof/>
                <w:sz w:val="20"/>
                <w:szCs w:val="20"/>
              </w:rPr>
              <w:fldChar w:fldCharType="end"/>
            </w:r>
          </w:sdtContent>
        </w:sdt>
      </w:sdtContent>
    </w:sdt>
  </w:p>
  <w:p w14:paraId="69FE9FB1" w14:textId="4A591BF7" w:rsidR="00E521AE" w:rsidRDefault="00E521AE">
    <w:pPr>
      <w:pStyle w:val="Footer"/>
      <w:jc w:val="center"/>
    </w:pPr>
  </w:p>
  <w:p w14:paraId="6841375E" w14:textId="77777777" w:rsidR="00E521AE" w:rsidRDefault="00E52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0ACC4" w14:textId="77777777" w:rsidR="00E521AE" w:rsidRDefault="00E521AE" w:rsidP="005750AF">
      <w:pPr>
        <w:spacing w:after="0" w:line="240" w:lineRule="auto"/>
      </w:pPr>
      <w:r>
        <w:separator/>
      </w:r>
    </w:p>
  </w:footnote>
  <w:footnote w:type="continuationSeparator" w:id="0">
    <w:p w14:paraId="6EDF58AF" w14:textId="77777777" w:rsidR="00E521AE" w:rsidRDefault="00E521AE" w:rsidP="005750AF">
      <w:pPr>
        <w:spacing w:after="0" w:line="240" w:lineRule="auto"/>
      </w:pPr>
      <w:r>
        <w:continuationSeparator/>
      </w:r>
    </w:p>
  </w:footnote>
  <w:footnote w:id="1">
    <w:p w14:paraId="375F3DB9" w14:textId="77777777" w:rsidR="00E521AE" w:rsidRDefault="00E521AE" w:rsidP="001261C6">
      <w:pPr>
        <w:pStyle w:val="FootnoteText"/>
        <w:jc w:val="both"/>
        <w:rPr>
          <w:rFonts w:cs="Times New Roman"/>
        </w:rPr>
      </w:pPr>
      <w:r>
        <w:rPr>
          <w:rStyle w:val="FootnoteReference"/>
        </w:rPr>
        <w:footnoteRef/>
      </w:r>
      <w:r>
        <w:rPr>
          <w:rFonts w:cs="Times New Roman"/>
        </w:rPr>
        <w:t xml:space="preserve"> </w:t>
      </w:r>
      <w:r>
        <w:rPr>
          <w:rFonts w:cs="Times New Roman"/>
          <w:i/>
        </w:rPr>
        <w:t>State v. Finnemen</w:t>
      </w:r>
      <w:r>
        <w:rPr>
          <w:rFonts w:cs="Times New Roman"/>
        </w:rPr>
        <w:t>, 2017 WL 4448541 (App. Div. Oct. 6, 2017).</w:t>
      </w:r>
    </w:p>
  </w:footnote>
  <w:footnote w:id="2">
    <w:p w14:paraId="268DF14E" w14:textId="01B65568" w:rsidR="00E521AE" w:rsidRDefault="00E521AE" w:rsidP="001261C6">
      <w:pPr>
        <w:pStyle w:val="FootnoteText"/>
        <w:jc w:val="both"/>
      </w:pPr>
      <w:r>
        <w:rPr>
          <w:rStyle w:val="FootnoteReference"/>
        </w:rPr>
        <w:footnoteRef/>
      </w:r>
      <w:r>
        <w:t xml:space="preserve"> </w:t>
      </w:r>
      <w:r w:rsidRPr="00E521AE">
        <w:rPr>
          <w:i/>
        </w:rPr>
        <w:t>Id</w:t>
      </w:r>
      <w:r>
        <w:rPr>
          <w:i/>
        </w:rPr>
        <w:t>.</w:t>
      </w:r>
      <w:r>
        <w:t xml:space="preserve"> at *5.</w:t>
      </w:r>
    </w:p>
  </w:footnote>
  <w:footnote w:id="3">
    <w:p w14:paraId="05C1548D" w14:textId="046556F4" w:rsidR="00E521AE" w:rsidRPr="00E521AE" w:rsidRDefault="00E521AE" w:rsidP="001261C6">
      <w:pPr>
        <w:pStyle w:val="FootnoteText"/>
        <w:jc w:val="both"/>
      </w:pPr>
      <w:r>
        <w:rPr>
          <w:rStyle w:val="FootnoteReference"/>
        </w:rPr>
        <w:footnoteRef/>
      </w:r>
      <w:r>
        <w:t xml:space="preserve"> </w:t>
      </w:r>
      <w:r>
        <w:rPr>
          <w:i/>
        </w:rPr>
        <w:t>Id.</w:t>
      </w:r>
    </w:p>
  </w:footnote>
  <w:footnote w:id="4">
    <w:p w14:paraId="5BCFA3EB" w14:textId="77777777" w:rsidR="00E521AE" w:rsidRDefault="00E521AE" w:rsidP="001261C6">
      <w:pPr>
        <w:pStyle w:val="FootnoteText"/>
        <w:jc w:val="both"/>
      </w:pPr>
      <w:r>
        <w:rPr>
          <w:rStyle w:val="FootnoteReference"/>
        </w:rPr>
        <w:footnoteRef/>
      </w:r>
      <w:r>
        <w:t xml:space="preserve"> </w:t>
      </w:r>
      <w:r>
        <w:rPr>
          <w:i/>
        </w:rPr>
        <w:t xml:space="preserve">Id. </w:t>
      </w:r>
      <w:r>
        <w:t>at *4-5.</w:t>
      </w:r>
    </w:p>
  </w:footnote>
  <w:footnote w:id="5">
    <w:p w14:paraId="4D651697" w14:textId="0B1F983C" w:rsidR="009E64DB" w:rsidRPr="009E64DB" w:rsidRDefault="009E64DB" w:rsidP="001261C6">
      <w:pPr>
        <w:pStyle w:val="FootnoteText"/>
        <w:jc w:val="both"/>
      </w:pPr>
      <w:r>
        <w:rPr>
          <w:rStyle w:val="FootnoteReference"/>
        </w:rPr>
        <w:footnoteRef/>
      </w:r>
      <w:r>
        <w:t xml:space="preserve"> </w:t>
      </w:r>
      <w:r>
        <w:rPr>
          <w:i/>
        </w:rPr>
        <w:t xml:space="preserve">Id. </w:t>
      </w:r>
      <w:r>
        <w:t>at *1.</w:t>
      </w:r>
    </w:p>
  </w:footnote>
  <w:footnote w:id="6">
    <w:p w14:paraId="3CD05D6D" w14:textId="561FE0E1" w:rsidR="00E521AE" w:rsidRPr="00A87ADF" w:rsidRDefault="00E521AE" w:rsidP="001261C6">
      <w:pPr>
        <w:pStyle w:val="FootnoteText"/>
        <w:jc w:val="both"/>
        <w:rPr>
          <w:i/>
        </w:rPr>
      </w:pPr>
      <w:r>
        <w:rPr>
          <w:rStyle w:val="FootnoteReference"/>
        </w:rPr>
        <w:footnoteRef/>
      </w:r>
      <w:r>
        <w:t xml:space="preserve"> </w:t>
      </w:r>
      <w:r>
        <w:rPr>
          <w:i/>
        </w:rPr>
        <w:t xml:space="preserve">Id. </w:t>
      </w:r>
    </w:p>
  </w:footnote>
  <w:footnote w:id="7">
    <w:p w14:paraId="04FADF3F" w14:textId="42F17F12" w:rsidR="00E521AE" w:rsidRPr="00260BD0" w:rsidRDefault="00E521AE" w:rsidP="001261C6">
      <w:pPr>
        <w:pStyle w:val="FootnoteText"/>
        <w:jc w:val="both"/>
      </w:pPr>
      <w:r>
        <w:rPr>
          <w:rStyle w:val="FootnoteReference"/>
        </w:rPr>
        <w:footnoteRef/>
      </w:r>
      <w:r>
        <w:t xml:space="preserve"> </w:t>
      </w:r>
      <w:r>
        <w:rPr>
          <w:i/>
        </w:rPr>
        <w:t xml:space="preserve">Id. </w:t>
      </w:r>
      <w:r>
        <w:t xml:space="preserve">at *2. </w:t>
      </w:r>
    </w:p>
  </w:footnote>
  <w:footnote w:id="8">
    <w:p w14:paraId="0824B3AA" w14:textId="56B99F7C" w:rsidR="00E521AE" w:rsidRDefault="00E521AE" w:rsidP="001261C6">
      <w:pPr>
        <w:pStyle w:val="FootnoteText"/>
        <w:jc w:val="both"/>
      </w:pPr>
      <w:r>
        <w:rPr>
          <w:rStyle w:val="FootnoteReference"/>
        </w:rPr>
        <w:footnoteRef/>
      </w:r>
      <w:r>
        <w:t xml:space="preserve"> </w:t>
      </w:r>
      <w:r w:rsidRPr="00A87ADF">
        <w:rPr>
          <w:i/>
        </w:rPr>
        <w:t>Id.</w:t>
      </w:r>
      <w:r>
        <w:t xml:space="preserve"> </w:t>
      </w:r>
    </w:p>
  </w:footnote>
  <w:footnote w:id="9">
    <w:p w14:paraId="637BEA1C" w14:textId="77777777" w:rsidR="00E521AE" w:rsidRPr="007A0274" w:rsidRDefault="00E521AE" w:rsidP="001261C6">
      <w:pPr>
        <w:pStyle w:val="FootnoteText"/>
        <w:jc w:val="both"/>
      </w:pPr>
      <w:r>
        <w:rPr>
          <w:rStyle w:val="FootnoteReference"/>
        </w:rPr>
        <w:footnoteRef/>
      </w:r>
      <w:r>
        <w:t xml:space="preserve"> </w:t>
      </w:r>
      <w:r>
        <w:rPr>
          <w:i/>
        </w:rPr>
        <w:t>Id.</w:t>
      </w:r>
      <w:r>
        <w:t xml:space="preserve"> at *1-2.</w:t>
      </w:r>
    </w:p>
  </w:footnote>
  <w:footnote w:id="10">
    <w:p w14:paraId="0822F25B" w14:textId="6BDF75EA" w:rsidR="00E521AE" w:rsidRDefault="00E521AE" w:rsidP="001261C6">
      <w:pPr>
        <w:pStyle w:val="FootnoteText"/>
        <w:jc w:val="both"/>
      </w:pPr>
      <w:r>
        <w:rPr>
          <w:rStyle w:val="FootnoteReference"/>
        </w:rPr>
        <w:footnoteRef/>
      </w:r>
      <w:r>
        <w:t xml:space="preserve"> N.J.S. 2C:33-2.</w:t>
      </w:r>
    </w:p>
  </w:footnote>
  <w:footnote w:id="11">
    <w:p w14:paraId="1529F043" w14:textId="09B151BD" w:rsidR="00E521AE" w:rsidRDefault="00E521AE" w:rsidP="001261C6">
      <w:pPr>
        <w:pStyle w:val="FootnoteText"/>
        <w:jc w:val="both"/>
      </w:pPr>
      <w:r>
        <w:rPr>
          <w:rStyle w:val="FootnoteReference"/>
        </w:rPr>
        <w:footnoteRef/>
      </w:r>
      <w:r>
        <w:t xml:space="preserve"> N.J.S. 2C:29-2(a). </w:t>
      </w:r>
    </w:p>
  </w:footnote>
  <w:footnote w:id="12">
    <w:p w14:paraId="69F212F1" w14:textId="5C5A24F3" w:rsidR="00E521AE" w:rsidRDefault="00E521AE" w:rsidP="001261C6">
      <w:pPr>
        <w:pStyle w:val="FootnoteText"/>
        <w:jc w:val="both"/>
      </w:pPr>
      <w:r>
        <w:rPr>
          <w:rStyle w:val="FootnoteReference"/>
        </w:rPr>
        <w:footnoteRef/>
      </w:r>
      <w:r>
        <w:t xml:space="preserve"> </w:t>
      </w:r>
      <w:r>
        <w:rPr>
          <w:rFonts w:cs="Times New Roman"/>
          <w:i/>
        </w:rPr>
        <w:t>State v. Finnemen</w:t>
      </w:r>
      <w:r>
        <w:rPr>
          <w:rFonts w:cs="Times New Roman"/>
        </w:rPr>
        <w:t>, 2017 WL 4448541 at *1.</w:t>
      </w:r>
    </w:p>
  </w:footnote>
  <w:footnote w:id="13">
    <w:p w14:paraId="1E26DD81" w14:textId="77777777" w:rsidR="00E521AE" w:rsidRPr="0074358A" w:rsidRDefault="00E521AE" w:rsidP="001261C6">
      <w:pPr>
        <w:pStyle w:val="FootnoteText"/>
        <w:jc w:val="both"/>
      </w:pPr>
      <w:r>
        <w:rPr>
          <w:rStyle w:val="FootnoteReference"/>
        </w:rPr>
        <w:footnoteRef/>
      </w:r>
      <w:r>
        <w:t xml:space="preserve"> </w:t>
      </w:r>
      <w:r>
        <w:rPr>
          <w:i/>
        </w:rPr>
        <w:t>Id.</w:t>
      </w:r>
      <w:r>
        <w:t xml:space="preserve"> at *1-2, *4.</w:t>
      </w:r>
    </w:p>
  </w:footnote>
  <w:footnote w:id="14">
    <w:p w14:paraId="77EC1133" w14:textId="749331AB" w:rsidR="00E521AE" w:rsidRPr="002C782F" w:rsidRDefault="00E521AE" w:rsidP="001261C6">
      <w:pPr>
        <w:pStyle w:val="FootnoteText"/>
        <w:jc w:val="both"/>
      </w:pPr>
      <w:r>
        <w:rPr>
          <w:rStyle w:val="FootnoteReference"/>
        </w:rPr>
        <w:footnoteRef/>
      </w:r>
      <w:r>
        <w:t xml:space="preserve"> </w:t>
      </w:r>
      <w:r>
        <w:rPr>
          <w:i/>
        </w:rPr>
        <w:t>Id.</w:t>
      </w:r>
    </w:p>
  </w:footnote>
  <w:footnote w:id="15">
    <w:p w14:paraId="6279293A" w14:textId="2D4EFFF0" w:rsidR="00E521AE" w:rsidRPr="00617921" w:rsidRDefault="00E521AE" w:rsidP="001261C6">
      <w:pPr>
        <w:pStyle w:val="FootnoteText"/>
        <w:jc w:val="both"/>
      </w:pPr>
      <w:r>
        <w:rPr>
          <w:rStyle w:val="FootnoteReference"/>
        </w:rPr>
        <w:footnoteRef/>
      </w:r>
      <w:r>
        <w:t xml:space="preserve"> </w:t>
      </w:r>
      <w:r w:rsidRPr="00617921">
        <w:rPr>
          <w:i/>
        </w:rPr>
        <w:t>Id.</w:t>
      </w:r>
      <w:r>
        <w:rPr>
          <w:i/>
        </w:rPr>
        <w:t xml:space="preserve"> </w:t>
      </w:r>
      <w:r w:rsidR="003D6FBA" w:rsidRPr="003D6FBA">
        <w:t>(</w:t>
      </w:r>
      <w:r w:rsidRPr="003D6FBA">
        <w:t>quoting</w:t>
      </w:r>
      <w:r>
        <w:rPr>
          <w:i/>
        </w:rPr>
        <w:t xml:space="preserve"> </w:t>
      </w:r>
      <w:r w:rsidRPr="00F764F1">
        <w:rPr>
          <w:i/>
        </w:rPr>
        <w:t xml:space="preserve">State v. </w:t>
      </w:r>
      <w:proofErr w:type="spellStart"/>
      <w:r w:rsidRPr="00F764F1">
        <w:rPr>
          <w:i/>
        </w:rPr>
        <w:t>Stampone</w:t>
      </w:r>
      <w:proofErr w:type="spellEnd"/>
      <w:r>
        <w:t>, 341 N.J. Super. 247, 254 (App. Div. 2001)</w:t>
      </w:r>
      <w:r w:rsidR="003D6FBA">
        <w:t>)</w:t>
      </w:r>
      <w:r>
        <w:t xml:space="preserve">. </w:t>
      </w:r>
    </w:p>
  </w:footnote>
  <w:footnote w:id="16">
    <w:p w14:paraId="6F1F1FD5" w14:textId="7A2F4D83" w:rsidR="00E521AE" w:rsidRPr="00B41449" w:rsidRDefault="00E521AE" w:rsidP="001261C6">
      <w:pPr>
        <w:pStyle w:val="FootnoteText"/>
        <w:jc w:val="both"/>
        <w:rPr>
          <w:i/>
        </w:rPr>
      </w:pPr>
      <w:r>
        <w:rPr>
          <w:rStyle w:val="FootnoteReference"/>
        </w:rPr>
        <w:footnoteRef/>
      </w:r>
      <w:r>
        <w:t xml:space="preserve"> </w:t>
      </w:r>
      <w:r>
        <w:rPr>
          <w:i/>
        </w:rPr>
        <w:t>Id.</w:t>
      </w:r>
    </w:p>
  </w:footnote>
  <w:footnote w:id="17">
    <w:p w14:paraId="418AC5C0" w14:textId="3FDC60CD" w:rsidR="00E521AE" w:rsidRPr="008617C0" w:rsidRDefault="00E521AE" w:rsidP="001261C6">
      <w:pPr>
        <w:pStyle w:val="FootnoteText"/>
        <w:jc w:val="both"/>
      </w:pPr>
      <w:r>
        <w:rPr>
          <w:rStyle w:val="FootnoteReference"/>
        </w:rPr>
        <w:footnoteRef/>
      </w:r>
      <w:r>
        <w:t xml:space="preserve"> </w:t>
      </w:r>
      <w:r w:rsidRPr="008617C0">
        <w:rPr>
          <w:smallCaps/>
        </w:rPr>
        <w:t>Model Penal Code</w:t>
      </w:r>
      <w:r>
        <w:rPr>
          <w:smallCaps/>
        </w:rPr>
        <w:t xml:space="preserve"> </w:t>
      </w:r>
      <w:r>
        <w:rPr>
          <w:rFonts w:cs="Times New Roman"/>
          <w:smallCaps/>
        </w:rPr>
        <w:t>§</w:t>
      </w:r>
      <w:r>
        <w:rPr>
          <w:smallCaps/>
        </w:rPr>
        <w:t xml:space="preserve">250.2 </w:t>
      </w:r>
      <w:r>
        <w:t xml:space="preserve">Disorderly Conduct (Proposed Official Draft 1962). </w:t>
      </w:r>
    </w:p>
  </w:footnote>
  <w:footnote w:id="18">
    <w:p w14:paraId="1BEAAB95" w14:textId="3B759979" w:rsidR="00E521AE" w:rsidRPr="00861CC1" w:rsidRDefault="00E521AE" w:rsidP="001261C6">
      <w:pPr>
        <w:pStyle w:val="FootnoteText"/>
        <w:jc w:val="both"/>
      </w:pPr>
      <w:r>
        <w:rPr>
          <w:rStyle w:val="FootnoteReference"/>
        </w:rPr>
        <w:footnoteRef/>
      </w:r>
      <w:r>
        <w:t xml:space="preserve"> </w:t>
      </w:r>
      <w:r>
        <w:rPr>
          <w:i/>
        </w:rPr>
        <w:t>Id.</w:t>
      </w:r>
    </w:p>
  </w:footnote>
  <w:footnote w:id="19">
    <w:p w14:paraId="24649EDD" w14:textId="4ABD6F9B" w:rsidR="00E521AE" w:rsidRDefault="00E521AE" w:rsidP="001261C6">
      <w:pPr>
        <w:pStyle w:val="FootnoteText"/>
        <w:jc w:val="both"/>
      </w:pPr>
      <w:r>
        <w:rPr>
          <w:rStyle w:val="FootnoteReference"/>
        </w:rPr>
        <w:footnoteRef/>
      </w:r>
      <w:r>
        <w:t xml:space="preserve"> </w:t>
      </w:r>
      <w:r w:rsidRPr="00557D54">
        <w:rPr>
          <w:i/>
        </w:rPr>
        <w:t>See</w:t>
      </w:r>
      <w:r>
        <w:t xml:space="preserve"> proposed language set forth in the Appendix. </w:t>
      </w:r>
    </w:p>
  </w:footnote>
  <w:footnote w:id="20">
    <w:p w14:paraId="67F34921" w14:textId="237F2971" w:rsidR="00E521AE" w:rsidRDefault="00E521AE" w:rsidP="001261C6">
      <w:pPr>
        <w:pStyle w:val="FootnoteText"/>
        <w:jc w:val="both"/>
      </w:pPr>
      <w:r>
        <w:rPr>
          <w:rStyle w:val="FootnoteReference"/>
        </w:rPr>
        <w:footnoteRef/>
      </w:r>
      <w:r>
        <w:t xml:space="preserve"> Emphasis added.</w:t>
      </w:r>
    </w:p>
  </w:footnote>
  <w:footnote w:id="21">
    <w:p w14:paraId="540C668B" w14:textId="77777777" w:rsidR="00E521AE" w:rsidRPr="008045CE" w:rsidRDefault="00E521AE" w:rsidP="001261C6">
      <w:pPr>
        <w:pStyle w:val="FootnoteText"/>
        <w:jc w:val="both"/>
      </w:pPr>
      <w:r>
        <w:rPr>
          <w:rStyle w:val="FootnoteReference"/>
        </w:rPr>
        <w:footnoteRef/>
      </w:r>
      <w:r>
        <w:t xml:space="preserve"> </w:t>
      </w:r>
      <w:r>
        <w:rPr>
          <w:i/>
        </w:rPr>
        <w:t xml:space="preserve">Id. </w:t>
      </w:r>
      <w:r>
        <w:t>at *5.</w:t>
      </w:r>
    </w:p>
  </w:footnote>
  <w:footnote w:id="22">
    <w:p w14:paraId="4FB4EF45" w14:textId="642E9DE0" w:rsidR="00E521AE" w:rsidRPr="0022361B" w:rsidRDefault="00E521AE" w:rsidP="001261C6">
      <w:pPr>
        <w:pStyle w:val="FootnoteText"/>
        <w:jc w:val="both"/>
        <w:rPr>
          <w:i/>
        </w:rPr>
      </w:pPr>
      <w:r>
        <w:rPr>
          <w:rStyle w:val="FootnoteReference"/>
        </w:rPr>
        <w:footnoteRef/>
      </w:r>
      <w:r>
        <w:t xml:space="preserve"> </w:t>
      </w:r>
      <w:r>
        <w:rPr>
          <w:rFonts w:cs="Times New Roman"/>
          <w:i/>
        </w:rPr>
        <w:t>State v. Finnemen</w:t>
      </w:r>
      <w:r>
        <w:rPr>
          <w:rFonts w:cs="Times New Roman"/>
        </w:rPr>
        <w:t xml:space="preserve">, 2017 WL 4448541 at *5 </w:t>
      </w:r>
      <w:r>
        <w:rPr>
          <w:rFonts w:cs="Times New Roman"/>
          <w:i/>
        </w:rPr>
        <w:t xml:space="preserve">citing </w:t>
      </w:r>
      <w:r>
        <w:rPr>
          <w:rFonts w:cs="Times New Roman"/>
        </w:rPr>
        <w:t>Webster’s New Collegiate Dictionary 1258 (1977).</w:t>
      </w:r>
      <w:r>
        <w:t xml:space="preserve"> </w:t>
      </w:r>
      <w:r>
        <w:rPr>
          <w:i/>
        </w:rPr>
        <w:t xml:space="preserve">See </w:t>
      </w:r>
      <w:r w:rsidRPr="0022361B">
        <w:rPr>
          <w:i/>
        </w:rPr>
        <w:t xml:space="preserve">Tumultuous, </w:t>
      </w:r>
      <w:r w:rsidRPr="0022361B">
        <w:t>Random House Webster’s Unabridged Dictionary (2d. ed. 2001) (“highly agita</w:t>
      </w:r>
      <w:r>
        <w:t xml:space="preserve">ted, as the mind or emotions”); </w:t>
      </w:r>
      <w:r w:rsidRPr="0022361B">
        <w:rPr>
          <w:i/>
        </w:rPr>
        <w:t>Tumultuous</w:t>
      </w:r>
      <w:r w:rsidRPr="0022361B">
        <w:t xml:space="preserve">, The American Heritage Dictionary of the English Language, https://ahdictionary.com/word/search. </w:t>
      </w:r>
      <w:proofErr w:type="spellStart"/>
      <w:r w:rsidRPr="0022361B">
        <w:t>html?q</w:t>
      </w:r>
      <w:proofErr w:type="spellEnd"/>
      <w:r w:rsidRPr="0022361B">
        <w:t xml:space="preserve">=tumultuous (last visited </w:t>
      </w:r>
      <w:r>
        <w:t>Nov. 15,</w:t>
      </w:r>
      <w:r w:rsidRPr="0022361B">
        <w:t xml:space="preserve"> 2017) (“[c]</w:t>
      </w:r>
      <w:proofErr w:type="spellStart"/>
      <w:r w:rsidRPr="0022361B">
        <w:t>haracterized</w:t>
      </w:r>
      <w:proofErr w:type="spellEnd"/>
      <w:r w:rsidRPr="0022361B">
        <w:t xml:space="preserve"> by mental or emotional agitation”); </w:t>
      </w:r>
      <w:r w:rsidRPr="0022361B">
        <w:rPr>
          <w:i/>
        </w:rPr>
        <w:t>Tumultuous</w:t>
      </w:r>
      <w:r w:rsidRPr="0022361B">
        <w:t>, The American Heritage Dictionary (Second College Ed. 1982) (“[c]</w:t>
      </w:r>
      <w:proofErr w:type="spellStart"/>
      <w:r w:rsidRPr="0022361B">
        <w:t>onfusedly</w:t>
      </w:r>
      <w:proofErr w:type="spellEnd"/>
      <w:r w:rsidRPr="0022361B">
        <w:t xml:space="preserve"> or violently agitated”); </w:t>
      </w:r>
      <w:r w:rsidRPr="0022361B">
        <w:rPr>
          <w:i/>
        </w:rPr>
        <w:t>see also</w:t>
      </w:r>
      <w:r w:rsidRPr="0022361B">
        <w:t xml:space="preserve"> </w:t>
      </w:r>
      <w:r w:rsidRPr="0022361B">
        <w:rPr>
          <w:i/>
        </w:rPr>
        <w:t>Hunter v. Allen</w:t>
      </w:r>
      <w:r w:rsidRPr="0022361B">
        <w:t>, 422 F.2d 1158, 1164 n.14A (5th Cir. 1970) (</w:t>
      </w:r>
      <w:proofErr w:type="spellStart"/>
      <w:r w:rsidRPr="0022361B">
        <w:t>Godbold</w:t>
      </w:r>
      <w:proofErr w:type="spellEnd"/>
      <w:r w:rsidRPr="0022361B">
        <w:t>, J., dissenting) (</w:t>
      </w:r>
      <w:r w:rsidRPr="0022361B">
        <w:rPr>
          <w:i/>
        </w:rPr>
        <w:t>citing</w:t>
      </w:r>
      <w:r w:rsidRPr="0022361B">
        <w:t xml:space="preserve"> The Random House Dictionary of the English Language (1966) to define “tumult” as “[h]</w:t>
      </w:r>
      <w:proofErr w:type="spellStart"/>
      <w:r w:rsidRPr="0022361B">
        <w:t>ighly</w:t>
      </w:r>
      <w:proofErr w:type="spellEnd"/>
      <w:r w:rsidRPr="0022361B">
        <w:t xml:space="preserve"> distressing agitation of mind or feeling; turbulent mental or emotional disturbance”), </w:t>
      </w:r>
      <w:proofErr w:type="spellStart"/>
      <w:r w:rsidRPr="00D83DEB">
        <w:rPr>
          <w:i/>
        </w:rPr>
        <w:t>rev’d</w:t>
      </w:r>
      <w:proofErr w:type="spellEnd"/>
      <w:r w:rsidRPr="00D83DEB">
        <w:rPr>
          <w:i/>
        </w:rPr>
        <w:t xml:space="preserve"> on other grounds</w:t>
      </w:r>
      <w:r w:rsidRPr="0022361B">
        <w:t xml:space="preserve">, </w:t>
      </w:r>
      <w:r w:rsidRPr="00D83DEB">
        <w:rPr>
          <w:i/>
        </w:rPr>
        <w:t>Embry v. Allen</w:t>
      </w:r>
      <w:r w:rsidRPr="0022361B">
        <w:t xml:space="preserve">, 401 U.S. 989, 91 </w:t>
      </w:r>
      <w:proofErr w:type="spellStart"/>
      <w:r w:rsidRPr="0022361B">
        <w:t>S.Ct</w:t>
      </w:r>
      <w:proofErr w:type="spellEnd"/>
      <w:r w:rsidRPr="0022361B">
        <w:t>. 1237, 28 L.Ed.2d 528 (1971);</w:t>
      </w:r>
      <w:r w:rsidRPr="00D83DEB">
        <w:t xml:space="preserve"> </w:t>
      </w:r>
      <w:r w:rsidRPr="00D83DEB">
        <w:rPr>
          <w:i/>
        </w:rPr>
        <w:t>State v. Lund</w:t>
      </w:r>
      <w:r>
        <w:t xml:space="preserve">, </w:t>
      </w:r>
      <w:r w:rsidRPr="00D83DEB">
        <w:t>144 Vt. 171, 475 A.2d 1055, 1060 (1984)</w:t>
      </w:r>
      <w:r w:rsidRPr="0022361B">
        <w:t xml:space="preserve"> (</w:t>
      </w:r>
      <w:r w:rsidRPr="00D83DEB">
        <w:rPr>
          <w:i/>
        </w:rPr>
        <w:t>citing</w:t>
      </w:r>
      <w:r w:rsidRPr="0022361B">
        <w:t xml:space="preserve"> Webster’s New International Dictionary (1961) to define “tumult” as a “violent outburst”).</w:t>
      </w:r>
    </w:p>
  </w:footnote>
  <w:footnote w:id="23">
    <w:p w14:paraId="11369B2F" w14:textId="3BED6059" w:rsidR="00E521AE" w:rsidRPr="003974D9" w:rsidRDefault="00E521AE" w:rsidP="001261C6">
      <w:pPr>
        <w:pStyle w:val="FootnoteText"/>
        <w:jc w:val="both"/>
      </w:pPr>
      <w:r>
        <w:rPr>
          <w:rStyle w:val="FootnoteReference"/>
        </w:rPr>
        <w:footnoteRef/>
      </w:r>
      <w:r>
        <w:t xml:space="preserve"> </w:t>
      </w:r>
      <w:r>
        <w:rPr>
          <w:i/>
        </w:rPr>
        <w:t xml:space="preserve">United Prop. Owners </w:t>
      </w:r>
      <w:proofErr w:type="spellStart"/>
      <w:r>
        <w:rPr>
          <w:i/>
        </w:rPr>
        <w:t>Ass’n</w:t>
      </w:r>
      <w:proofErr w:type="spellEnd"/>
      <w:r>
        <w:rPr>
          <w:i/>
        </w:rPr>
        <w:t xml:space="preserve"> of Belmar v. Borough of Belmar</w:t>
      </w:r>
      <w:r>
        <w:t>, 343 N.J.</w:t>
      </w:r>
      <w:r w:rsidR="00B2448D">
        <w:t xml:space="preserve"> Super. 1, 67 (App. Div. 2001).</w:t>
      </w:r>
    </w:p>
  </w:footnote>
  <w:footnote w:id="24">
    <w:p w14:paraId="537628CE" w14:textId="74A16738" w:rsidR="00E521AE" w:rsidRPr="00402A54" w:rsidRDefault="00E521AE" w:rsidP="001261C6">
      <w:pPr>
        <w:pStyle w:val="FootnoteText"/>
        <w:jc w:val="both"/>
      </w:pPr>
      <w:r>
        <w:rPr>
          <w:rStyle w:val="FootnoteReference"/>
        </w:rPr>
        <w:footnoteRef/>
      </w:r>
      <w:r>
        <w:t xml:space="preserve"> </w:t>
      </w:r>
      <w:r w:rsidRPr="00402A54">
        <w:rPr>
          <w:i/>
        </w:rPr>
        <w:t>Id.</w:t>
      </w:r>
      <w:r>
        <w:rPr>
          <w:i/>
        </w:rPr>
        <w:t xml:space="preserve"> </w:t>
      </w:r>
    </w:p>
  </w:footnote>
  <w:footnote w:id="25">
    <w:p w14:paraId="2DA31608" w14:textId="1CB20164" w:rsidR="00E521AE" w:rsidRPr="00955379" w:rsidRDefault="00E521AE" w:rsidP="001261C6">
      <w:pPr>
        <w:pStyle w:val="FootnoteText"/>
        <w:jc w:val="both"/>
      </w:pPr>
      <w:r>
        <w:rPr>
          <w:rStyle w:val="FootnoteReference"/>
        </w:rPr>
        <w:footnoteRef/>
      </w:r>
      <w:r>
        <w:t xml:space="preserve"> </w:t>
      </w:r>
      <w:r>
        <w:rPr>
          <w:i/>
        </w:rPr>
        <w:t xml:space="preserve">Id. </w:t>
      </w:r>
      <w:r w:rsidRPr="001A0506">
        <w:rPr>
          <w:i/>
        </w:rPr>
        <w:t>quoting</w:t>
      </w:r>
      <w:r>
        <w:t xml:space="preserve"> Webster’s New American Dictionary 555 (</w:t>
      </w:r>
      <w:proofErr w:type="spellStart"/>
      <w:r>
        <w:t>Smithmark</w:t>
      </w:r>
      <w:proofErr w:type="spellEnd"/>
      <w:r>
        <w:t xml:space="preserve"> 1995).</w:t>
      </w:r>
    </w:p>
  </w:footnote>
  <w:footnote w:id="26">
    <w:p w14:paraId="476418E1" w14:textId="05EF01B5" w:rsidR="00E521AE" w:rsidRPr="00955379" w:rsidRDefault="00E521AE" w:rsidP="001261C6">
      <w:pPr>
        <w:pStyle w:val="FootnoteText"/>
        <w:jc w:val="both"/>
        <w:rPr>
          <w:i/>
        </w:rPr>
      </w:pPr>
      <w:r>
        <w:rPr>
          <w:rStyle w:val="FootnoteReference"/>
        </w:rPr>
        <w:footnoteRef/>
      </w:r>
      <w:r>
        <w:t xml:space="preserve"> </w:t>
      </w:r>
      <w:r>
        <w:rPr>
          <w:i/>
        </w:rPr>
        <w:t>Id.</w:t>
      </w:r>
    </w:p>
  </w:footnote>
  <w:footnote w:id="27">
    <w:p w14:paraId="28ABDF89" w14:textId="15460798" w:rsidR="00E521AE" w:rsidRDefault="00E521AE" w:rsidP="001261C6">
      <w:pPr>
        <w:pStyle w:val="FootnoteText"/>
        <w:jc w:val="both"/>
      </w:pPr>
      <w:r>
        <w:rPr>
          <w:rStyle w:val="FootnoteReference"/>
        </w:rPr>
        <w:footnoteRef/>
      </w:r>
      <w:r>
        <w:t xml:space="preserve"> </w:t>
      </w:r>
      <w:r w:rsidRPr="00094B63">
        <w:rPr>
          <w:smallCaps/>
        </w:rPr>
        <w:t>Final Report of the Criminal Law Revision Commission</w:t>
      </w:r>
      <w:r>
        <w:t>, Volume I *111 (1971).</w:t>
      </w:r>
    </w:p>
  </w:footnote>
  <w:footnote w:id="28">
    <w:p w14:paraId="35FF6E8C" w14:textId="7C48DF32" w:rsidR="00E521AE" w:rsidRDefault="00E521AE" w:rsidP="001261C6">
      <w:pPr>
        <w:pStyle w:val="FootnoteText"/>
        <w:jc w:val="both"/>
      </w:pPr>
      <w:r>
        <w:rPr>
          <w:rStyle w:val="FootnoteReference"/>
        </w:rPr>
        <w:footnoteRef/>
      </w:r>
      <w:r>
        <w:t xml:space="preserve"> </w:t>
      </w:r>
      <w:r>
        <w:rPr>
          <w:i/>
        </w:rPr>
        <w:t>State v. Teal</w:t>
      </w:r>
      <w:r w:rsidR="00B2448D">
        <w:rPr>
          <w:i/>
        </w:rPr>
        <w:t>e</w:t>
      </w:r>
      <w:r>
        <w:rPr>
          <w:i/>
        </w:rPr>
        <w:t xml:space="preserve">, </w:t>
      </w:r>
      <w:r w:rsidRPr="00711A73">
        <w:t>139 Hawai’i 351 (</w:t>
      </w:r>
      <w:proofErr w:type="spellStart"/>
      <w:r w:rsidRPr="00711A73">
        <w:t>S.Ct</w:t>
      </w:r>
      <w:proofErr w:type="spellEnd"/>
      <w:r w:rsidRPr="00711A73">
        <w:t>. Feb. 2017).</w:t>
      </w:r>
    </w:p>
  </w:footnote>
  <w:footnote w:id="29">
    <w:p w14:paraId="24E5AEF0" w14:textId="12A8BA99" w:rsidR="00E521AE" w:rsidRDefault="00E521AE" w:rsidP="001261C6">
      <w:pPr>
        <w:pStyle w:val="FootnoteText"/>
        <w:jc w:val="both"/>
      </w:pPr>
      <w:r>
        <w:rPr>
          <w:rStyle w:val="FootnoteReference"/>
        </w:rPr>
        <w:footnoteRef/>
      </w:r>
      <w:r>
        <w:t xml:space="preserve"> </w:t>
      </w:r>
      <w:r w:rsidRPr="00557D54">
        <w:rPr>
          <w:i/>
        </w:rPr>
        <w:t>See</w:t>
      </w:r>
      <w:r>
        <w:t xml:space="preserve"> proposed lan</w:t>
      </w:r>
      <w:r w:rsidR="003D6FBA">
        <w:t>guage set forth in the Appendix</w:t>
      </w:r>
      <w:r>
        <w:t xml:space="preserve">. </w:t>
      </w:r>
    </w:p>
  </w:footnote>
  <w:footnote w:id="30">
    <w:p w14:paraId="6C696352" w14:textId="61EEDA32" w:rsidR="00E521AE" w:rsidRDefault="00E521AE" w:rsidP="001261C6">
      <w:pPr>
        <w:pStyle w:val="FootnoteText"/>
        <w:jc w:val="both"/>
      </w:pPr>
      <w:r>
        <w:rPr>
          <w:rStyle w:val="FootnoteReference"/>
        </w:rPr>
        <w:footnoteRef/>
      </w:r>
      <w:r>
        <w:t xml:space="preserve"> Staff conducted a fifty-state survey in Westlaw using the term “tumult!” In addition, each state was searched for the terms “disorderly conduct.”  </w:t>
      </w:r>
    </w:p>
  </w:footnote>
  <w:footnote w:id="31">
    <w:p w14:paraId="3135872D" w14:textId="4BD3D8C8" w:rsidR="00E521AE" w:rsidRDefault="00E521AE" w:rsidP="001261C6">
      <w:pPr>
        <w:pStyle w:val="FootnoteText"/>
        <w:jc w:val="both"/>
      </w:pPr>
      <w:r>
        <w:rPr>
          <w:rStyle w:val="FootnoteReference"/>
        </w:rPr>
        <w:footnoteRef/>
      </w:r>
      <w:r>
        <w:t xml:space="preserve"> </w:t>
      </w:r>
      <w:r w:rsidRPr="00E7239C">
        <w:t xml:space="preserve">Ala. (§ 13A-11-7. Dis. con.); Ark. (§ 5-71-207. Dis. con.); Conn. (§ 53a-182. Dis. con.); Del. (§ 1301. Dis. con.; unclassified </w:t>
      </w:r>
      <w:proofErr w:type="spellStart"/>
      <w:r w:rsidRPr="00E7239C">
        <w:t>misd</w:t>
      </w:r>
      <w:proofErr w:type="spellEnd"/>
      <w:r w:rsidRPr="00E7239C">
        <w:t xml:space="preserve">.); Ga. (§ 16-11-39. Dis. con.); Haw. (§ 711-1101. Dis. con.); Idaho (§ 18-6409. Dist. the peace); Ind. (35-31.5-2-338 Tumultuous cond.); Ky. (525.055 Dis. con. in the first degree); La. (§ 103. Disturbing the peace); Mass. (§8. </w:t>
      </w:r>
      <w:proofErr w:type="spellStart"/>
      <w:r w:rsidRPr="00E7239C">
        <w:t>Destr</w:t>
      </w:r>
      <w:proofErr w:type="spellEnd"/>
      <w:r w:rsidRPr="00E7239C">
        <w:t>. of or damage to prop. by persons riotously assembled; liability of town); Miss. (§ 97-35-9. Disturb. by tumultuous or offensive cond.); Nev. (203.010. Breach of peace); N.H. (644:2 Dis. con.); N.J. (2C:33-2. Dis. con.); N.Y. (§ 240.20 Dis. con.); N.D. (§ 12.1-31-01. Dis. con.); Or. (166.025. Dis. con. in the second degree); Pa. (§ 5503. Dis. con.); R.I. (§ 11-45-1. Dis. con.); Tex. (§ 38.13. Hindering Proc. by Dis. con.); Utah (§ 76-9-102. Dis. con.); Vt. (§ 1026. Dis. con.); Wash. (9A.84.030. Dis. con.).</w:t>
      </w:r>
      <w:r>
        <w:t xml:space="preserve"> </w:t>
      </w:r>
      <w:r>
        <w:rPr>
          <w:i/>
        </w:rPr>
        <w:t xml:space="preserve">See </w:t>
      </w:r>
      <w:r>
        <w:t>Fig. 1.</w:t>
      </w:r>
    </w:p>
  </w:footnote>
  <w:footnote w:id="32">
    <w:p w14:paraId="4FFE9FEC" w14:textId="767E6B98" w:rsidR="00E521AE" w:rsidRPr="00C05BB6" w:rsidRDefault="00E521AE" w:rsidP="001261C6">
      <w:pPr>
        <w:pStyle w:val="FootnoteText"/>
        <w:jc w:val="both"/>
      </w:pPr>
      <w:r>
        <w:rPr>
          <w:rStyle w:val="FootnoteReference"/>
        </w:rPr>
        <w:footnoteRef/>
      </w:r>
      <w:r>
        <w:t xml:space="preserve"> </w:t>
      </w:r>
      <w:r w:rsidRPr="00C05BB6">
        <w:t xml:space="preserve">Alaska (§ 11.61.110. Dis. con.); Ariz. (§ 13-2904. Dis. con.; classification); Cal. (§ 415. Fighting; noise; offensive words); Colo. (§ 18-9-106. Dis. con.); D.C. (§ 22-1322. Rioting or inciting to riot.); Fla. (877.03. Breach of the peace; Dis. con.); Ill. (5/11-5-3. </w:t>
      </w:r>
      <w:proofErr w:type="spellStart"/>
      <w:r w:rsidRPr="00C05BB6">
        <w:t>Intox</w:t>
      </w:r>
      <w:proofErr w:type="spellEnd"/>
      <w:r w:rsidRPr="00C05BB6">
        <w:t>.; fighting; Dis. con.); Iowa (723.4. Dis. con.); Kan. (21-6203. Dis. con.); Me. (§ 501-A. Dis. con.); Md. (§ 10-201. Dist. the public peace and Dis. con.); Mich. (750.167. “Disorderly person” defined.); Minn. (609.72. Dis. con.); Mo. (574.010. Peace disturbance--penalty); Mont. (45-8-101. Dis. con.); Neb. (17-129. Dis. con.; power to prevent); N.M. (§ 30-20-1. Dis. con.); N.C. (§ 14-288.4. Dis. con.); Ohio (2917.11 Dis. con.); Okla. (725:30-4-17. Dis. con.); S.C. (§ 16-17-530. Public Dis. con.); S.D. (22-18-35. Dis. con. - Misdemeanor); Tenn. (§ 39-17-305. Dis. con.); Va. (§ 18.2-415. Dis. con. in public places); W.Va. (§ 61-6 1b.  Dis. con.; penalty); Wis. (947.01. Dis. con.); Wyo. (§ 6-6-102. Breach of the peace; penalties).</w:t>
      </w:r>
      <w:r>
        <w:t xml:space="preserve"> </w:t>
      </w:r>
      <w:r>
        <w:rPr>
          <w:i/>
        </w:rPr>
        <w:t xml:space="preserve">See </w:t>
      </w:r>
      <w:r>
        <w:t>Fig. 1.</w:t>
      </w:r>
    </w:p>
  </w:footnote>
  <w:footnote w:id="33">
    <w:p w14:paraId="38D2D86E" w14:textId="7B16E940" w:rsidR="00E521AE" w:rsidRPr="00BE4CAF" w:rsidRDefault="00E521AE" w:rsidP="001261C6">
      <w:pPr>
        <w:pStyle w:val="FootnoteText"/>
        <w:jc w:val="both"/>
        <w:rPr>
          <w:i/>
        </w:rPr>
      </w:pPr>
      <w:r>
        <w:rPr>
          <w:rStyle w:val="FootnoteReference"/>
        </w:rPr>
        <w:footnoteRef/>
      </w:r>
      <w:r>
        <w:t xml:space="preserve"> </w:t>
      </w:r>
      <w:r w:rsidRPr="00213737">
        <w:rPr>
          <w:i/>
        </w:rPr>
        <w:t>See</w:t>
      </w:r>
      <w:r>
        <w:t xml:space="preserve"> Appendix</w:t>
      </w:r>
      <w:r w:rsidR="003D6FBA">
        <w:t>, Option #2</w:t>
      </w:r>
      <w:r>
        <w:t xml:space="preserve">. This solution may be employed, with or without the inclusion of subsection (a)(2) as discussed </w:t>
      </w:r>
      <w:r>
        <w:rPr>
          <w:i/>
        </w:rPr>
        <w:t>supra.</w:t>
      </w:r>
    </w:p>
  </w:footnote>
  <w:footnote w:id="34">
    <w:p w14:paraId="64BBD595" w14:textId="7F08439D" w:rsidR="00E521AE" w:rsidRPr="00BE4CAF" w:rsidRDefault="00E521AE" w:rsidP="001261C6">
      <w:pPr>
        <w:pStyle w:val="FootnoteText"/>
        <w:jc w:val="both"/>
        <w:rPr>
          <w:i/>
        </w:rPr>
      </w:pPr>
      <w:r>
        <w:rPr>
          <w:rStyle w:val="FootnoteReference"/>
        </w:rPr>
        <w:footnoteRef/>
      </w:r>
      <w:r>
        <w:t xml:space="preserve"> </w:t>
      </w:r>
      <w:r w:rsidRPr="00213737">
        <w:rPr>
          <w:i/>
        </w:rPr>
        <w:t>See</w:t>
      </w:r>
      <w:r>
        <w:t xml:space="preserve"> Appendix</w:t>
      </w:r>
      <w:r w:rsidR="003D6FBA">
        <w:t>, Option #2</w:t>
      </w:r>
      <w:r>
        <w:t xml:space="preserve">. This solution provides for the inclusion of subsection (a)(2) as discussed </w:t>
      </w:r>
      <w:r>
        <w:rPr>
          <w:i/>
        </w:rPr>
        <w:t>supra.</w:t>
      </w:r>
    </w:p>
  </w:footnote>
  <w:footnote w:id="35">
    <w:p w14:paraId="6E8E60FE" w14:textId="77777777" w:rsidR="0002377B" w:rsidRDefault="0002377B" w:rsidP="001261C6">
      <w:pPr>
        <w:pStyle w:val="FootnoteText"/>
        <w:jc w:val="both"/>
      </w:pPr>
      <w:r>
        <w:rPr>
          <w:rStyle w:val="FootnoteReference"/>
        </w:rPr>
        <w:footnoteRef/>
      </w:r>
      <w:r>
        <w:t xml:space="preserve"> </w:t>
      </w:r>
      <w:r w:rsidRPr="0071713A">
        <w:rPr>
          <w:i/>
        </w:rPr>
        <w:t>See</w:t>
      </w:r>
      <w:r>
        <w:t xml:space="preserve"> Appendix, Option #3. </w:t>
      </w:r>
    </w:p>
  </w:footnote>
  <w:footnote w:id="36">
    <w:p w14:paraId="567316C1" w14:textId="7044CD0A" w:rsidR="00E521AE" w:rsidRDefault="00E521AE" w:rsidP="001261C6">
      <w:pPr>
        <w:pStyle w:val="FootnoteText"/>
        <w:jc w:val="both"/>
      </w:pPr>
      <w:r>
        <w:rPr>
          <w:rStyle w:val="FootnoteReference"/>
        </w:rPr>
        <w:footnoteRef/>
      </w:r>
      <w:r>
        <w:t xml:space="preserve"> IC 35-45-1 defines “Tumultuous Conduct.” </w:t>
      </w:r>
    </w:p>
  </w:footnote>
  <w:footnote w:id="37">
    <w:p w14:paraId="722D0A84" w14:textId="458DDE85" w:rsidR="00E521AE" w:rsidRDefault="00E521AE" w:rsidP="001261C6">
      <w:pPr>
        <w:pStyle w:val="FootnoteText"/>
        <w:jc w:val="both"/>
      </w:pPr>
      <w:r>
        <w:rPr>
          <w:rStyle w:val="FootnoteReference"/>
        </w:rPr>
        <w:footnoteRef/>
      </w:r>
      <w:r>
        <w:t xml:space="preserve"> IC 35-45-1-3(a)(1). </w:t>
      </w:r>
    </w:p>
  </w:footnote>
  <w:footnote w:id="38">
    <w:p w14:paraId="38FD8723" w14:textId="3BE102A7" w:rsidR="00E521AE" w:rsidRDefault="00E521AE" w:rsidP="001261C6">
      <w:pPr>
        <w:pStyle w:val="FootnoteText"/>
        <w:jc w:val="both"/>
      </w:pPr>
      <w:r>
        <w:rPr>
          <w:rStyle w:val="FootnoteReference"/>
        </w:rPr>
        <w:footnoteRef/>
      </w:r>
      <w:r>
        <w:t xml:space="preserve"> IC 35-45-1-1 Sec. 1.</w:t>
      </w:r>
    </w:p>
  </w:footnote>
  <w:footnote w:id="39">
    <w:p w14:paraId="7EF0E170" w14:textId="23C7AF1C" w:rsidR="00E521AE" w:rsidRDefault="00E521AE" w:rsidP="001261C6">
      <w:pPr>
        <w:pStyle w:val="FootnoteText"/>
        <w:jc w:val="both"/>
      </w:pPr>
      <w:r>
        <w:rPr>
          <w:rStyle w:val="FootnoteReference"/>
        </w:rPr>
        <w:footnoteRef/>
      </w:r>
      <w:r>
        <w:t xml:space="preserve"> </w:t>
      </w:r>
      <w:r w:rsidRPr="0071713A">
        <w:rPr>
          <w:i/>
        </w:rPr>
        <w:t>See</w:t>
      </w:r>
      <w:r>
        <w:t xml:space="preserve"> Appendix</w:t>
      </w:r>
      <w:r w:rsidR="0002377B">
        <w:t>, Option #3.</w:t>
      </w:r>
      <w:r>
        <w:t xml:space="preserve"> </w:t>
      </w:r>
      <w:r w:rsidR="00701E82">
        <w:t xml:space="preserve">“Serious bodily injury” is a term defined in N.J.S. 2C:11-1(b) as “bodily injury which creates a substantial risk of death or which causes serious permanent disfigurement, or protracted loss or impairment of the function of any bodily member or organ.”  </w:t>
      </w:r>
    </w:p>
  </w:footnote>
  <w:footnote w:id="40">
    <w:p w14:paraId="2246A4A5" w14:textId="257EDFF0" w:rsidR="001B0946" w:rsidRDefault="001B0946" w:rsidP="001261C6">
      <w:pPr>
        <w:pStyle w:val="FootnoteText"/>
        <w:jc w:val="both"/>
      </w:pPr>
      <w:r>
        <w:rPr>
          <w:rStyle w:val="FootnoteReference"/>
        </w:rPr>
        <w:footnoteRef/>
      </w:r>
      <w:r>
        <w:t xml:space="preserve"> During the December 20, 2018, the Commission discussed the constitutionality of N.J.S. 2C:33-2(b). In an effort to answer questions raised by the Commission at this meeting Staff conducted an examination of this portion of the statute.</w:t>
      </w:r>
    </w:p>
  </w:footnote>
  <w:footnote w:id="41">
    <w:p w14:paraId="735BC007" w14:textId="1815B738" w:rsidR="00E42365" w:rsidRDefault="00E42365" w:rsidP="001261C6">
      <w:pPr>
        <w:pStyle w:val="FootnoteText"/>
        <w:jc w:val="both"/>
      </w:pPr>
      <w:r>
        <w:rPr>
          <w:rStyle w:val="FootnoteReference"/>
        </w:rPr>
        <w:footnoteRef/>
      </w:r>
      <w:r>
        <w:t xml:space="preserve"> N.J.S. 2C:33-2(b).</w:t>
      </w:r>
    </w:p>
  </w:footnote>
  <w:footnote w:id="42">
    <w:p w14:paraId="6E36986C" w14:textId="71F8ED43" w:rsidR="006504DA" w:rsidRPr="006504DA" w:rsidRDefault="006504DA" w:rsidP="001261C6">
      <w:pPr>
        <w:pStyle w:val="FootnoteText"/>
        <w:jc w:val="both"/>
      </w:pPr>
      <w:r>
        <w:rPr>
          <w:rStyle w:val="FootnoteReference"/>
        </w:rPr>
        <w:footnoteRef/>
      </w:r>
      <w:r>
        <w:t xml:space="preserve"> </w:t>
      </w:r>
      <w:r w:rsidRPr="00E25725">
        <w:rPr>
          <w:i/>
        </w:rPr>
        <w:t>In the Interest of H.D.,</w:t>
      </w:r>
      <w:r>
        <w:t xml:space="preserve"> 206 N.J. Super. 58 (App. Div. 1985), </w:t>
      </w:r>
      <w:r>
        <w:rPr>
          <w:i/>
        </w:rPr>
        <w:t xml:space="preserve">citing </w:t>
      </w:r>
      <w:r w:rsidRPr="00E25725">
        <w:rPr>
          <w:i/>
        </w:rPr>
        <w:t>Gooding v. Wilson</w:t>
      </w:r>
      <w:r>
        <w:t xml:space="preserve">, 405 U.S. 518 (1972); </w:t>
      </w:r>
      <w:r w:rsidRPr="00E25725">
        <w:rPr>
          <w:i/>
        </w:rPr>
        <w:t>Cohen v. California</w:t>
      </w:r>
      <w:r>
        <w:t xml:space="preserve">, 403 U.S. 15 (1971); and, </w:t>
      </w:r>
      <w:r w:rsidRPr="00E25725">
        <w:rPr>
          <w:i/>
        </w:rPr>
        <w:t>State v. Rosenfeld</w:t>
      </w:r>
      <w:r>
        <w:t>, 62 N.J. 594 (1973)</w:t>
      </w:r>
      <w:r w:rsidR="00B42015">
        <w:t xml:space="preserve"> </w:t>
      </w:r>
      <w:r w:rsidR="00837D8B">
        <w:t>(recognizing that the disorderly conduct statute, N.J.S. 2A:170-29(1) may not be utilized to punish speech which is offensive to the sensibilities of the hearer).</w:t>
      </w:r>
    </w:p>
  </w:footnote>
  <w:footnote w:id="43">
    <w:p w14:paraId="1D740342" w14:textId="4F507360" w:rsidR="004608E0" w:rsidRDefault="004608E0" w:rsidP="00BA5A5B">
      <w:pPr>
        <w:pStyle w:val="FootnoteText"/>
        <w:jc w:val="both"/>
      </w:pPr>
      <w:r>
        <w:rPr>
          <w:rStyle w:val="FootnoteReference"/>
        </w:rPr>
        <w:footnoteRef/>
      </w:r>
      <w:r>
        <w:t xml:space="preserve"> </w:t>
      </w:r>
      <w:r>
        <w:rPr>
          <w:i/>
        </w:rPr>
        <w:t>State i</w:t>
      </w:r>
      <w:r w:rsidRPr="00E25725">
        <w:rPr>
          <w:i/>
        </w:rPr>
        <w:t>n the Interest of H.D.,</w:t>
      </w:r>
      <w:r>
        <w:t xml:space="preserve"> 206 N.J. Super. at 59. </w:t>
      </w:r>
    </w:p>
  </w:footnote>
  <w:footnote w:id="44">
    <w:p w14:paraId="06D62591" w14:textId="1D459FA2" w:rsidR="004608E0" w:rsidRPr="004608E0" w:rsidRDefault="004608E0" w:rsidP="00BA5A5B">
      <w:pPr>
        <w:pStyle w:val="FootnoteText"/>
        <w:jc w:val="both"/>
      </w:pPr>
      <w:r>
        <w:rPr>
          <w:rStyle w:val="FootnoteReference"/>
        </w:rPr>
        <w:footnoteRef/>
      </w:r>
      <w:r>
        <w:t xml:space="preserve"> </w:t>
      </w:r>
      <w:r>
        <w:rPr>
          <w:i/>
        </w:rPr>
        <w:t xml:space="preserve">Id. </w:t>
      </w:r>
      <w:r w:rsidRPr="004608E0">
        <w:rPr>
          <w:i/>
        </w:rPr>
        <w:t>citing State in the Interest of H.D.,</w:t>
      </w:r>
      <w:r>
        <w:t xml:space="preserve"> 184 N.J. Super. 299 (</w:t>
      </w:r>
      <w:proofErr w:type="spellStart"/>
      <w:r>
        <w:t>J&amp;D.R.Ct</w:t>
      </w:r>
      <w:proofErr w:type="spellEnd"/>
      <w:r>
        <w:t>. 1982).</w:t>
      </w:r>
    </w:p>
  </w:footnote>
  <w:footnote w:id="45">
    <w:p w14:paraId="3E07C915" w14:textId="09ECFB22" w:rsidR="001C17EC" w:rsidRPr="001C17EC" w:rsidRDefault="001C17EC" w:rsidP="00BA5A5B">
      <w:pPr>
        <w:pStyle w:val="FootnoteText"/>
        <w:jc w:val="both"/>
      </w:pPr>
      <w:r>
        <w:rPr>
          <w:rStyle w:val="FootnoteReference"/>
        </w:rPr>
        <w:footnoteRef/>
      </w:r>
      <w:r>
        <w:t xml:space="preserve"> </w:t>
      </w:r>
      <w:r>
        <w:rPr>
          <w:i/>
        </w:rPr>
        <w:t>Id.</w:t>
      </w:r>
      <w:r>
        <w:t xml:space="preserve"> </w:t>
      </w:r>
    </w:p>
  </w:footnote>
  <w:footnote w:id="46">
    <w:p w14:paraId="3FDEE869" w14:textId="7811A4B1" w:rsidR="0021595B" w:rsidRPr="0021595B" w:rsidRDefault="0021595B" w:rsidP="00BA5A5B">
      <w:pPr>
        <w:pStyle w:val="FootnoteText"/>
        <w:jc w:val="both"/>
        <w:rPr>
          <w:i/>
        </w:rPr>
      </w:pPr>
      <w:r>
        <w:rPr>
          <w:rStyle w:val="FootnoteReference"/>
        </w:rPr>
        <w:footnoteRef/>
      </w:r>
      <w:r>
        <w:t xml:space="preserve"> </w:t>
      </w:r>
      <w:r>
        <w:rPr>
          <w:i/>
        </w:rPr>
        <w:t xml:space="preserve">See </w:t>
      </w:r>
      <w:r>
        <w:t xml:space="preserve">n.41 </w:t>
      </w:r>
      <w:r>
        <w:rPr>
          <w:i/>
        </w:rPr>
        <w:t>supra.</w:t>
      </w:r>
    </w:p>
  </w:footnote>
  <w:footnote w:id="47">
    <w:p w14:paraId="09917378" w14:textId="1F41D1CE" w:rsidR="001B0946" w:rsidRDefault="001B0946" w:rsidP="00BA5A5B">
      <w:pPr>
        <w:pStyle w:val="FootnoteText"/>
        <w:jc w:val="both"/>
      </w:pPr>
      <w:r>
        <w:rPr>
          <w:rStyle w:val="FootnoteReference"/>
        </w:rPr>
        <w:footnoteRef/>
      </w:r>
      <w:r>
        <w:t xml:space="preserve"> </w:t>
      </w:r>
      <w:r w:rsidRPr="0021595B">
        <w:rPr>
          <w:rFonts w:cs="Times New Roman"/>
          <w:i/>
        </w:rPr>
        <w:t>State in the Interest of H.D.,</w:t>
      </w:r>
      <w:r w:rsidRPr="0021595B">
        <w:rPr>
          <w:rFonts w:cs="Times New Roman"/>
        </w:rPr>
        <w:t xml:space="preserve"> 206 N.J. Super. at </w:t>
      </w:r>
      <w:r>
        <w:rPr>
          <w:rFonts w:cs="Times New Roman"/>
        </w:rPr>
        <w:t>61</w:t>
      </w:r>
      <w:r w:rsidRPr="0021595B">
        <w:rPr>
          <w:rFonts w:cs="Times New Roman"/>
        </w:rPr>
        <w:t>.</w:t>
      </w:r>
    </w:p>
  </w:footnote>
  <w:footnote w:id="48">
    <w:p w14:paraId="75E84867" w14:textId="15DA651F" w:rsidR="0021595B" w:rsidRPr="00B35EB0" w:rsidRDefault="0021595B" w:rsidP="00BA5A5B">
      <w:pPr>
        <w:pStyle w:val="FootnoteText"/>
        <w:jc w:val="both"/>
        <w:rPr>
          <w:rFonts w:cs="Times New Roman"/>
        </w:rPr>
      </w:pPr>
      <w:r w:rsidRPr="0021595B">
        <w:rPr>
          <w:rStyle w:val="FootnoteReference"/>
          <w:rFonts w:cs="Times New Roman"/>
        </w:rPr>
        <w:footnoteRef/>
      </w:r>
      <w:r w:rsidRPr="0021595B">
        <w:rPr>
          <w:rFonts w:cs="Times New Roman"/>
        </w:rPr>
        <w:t xml:space="preserve"> </w:t>
      </w:r>
      <w:r w:rsidR="001B0946">
        <w:rPr>
          <w:rFonts w:cs="Times New Roman"/>
          <w:i/>
        </w:rPr>
        <w:t>Id.</w:t>
      </w:r>
      <w:r w:rsidR="00B35EB0">
        <w:rPr>
          <w:rFonts w:cs="Times New Roman"/>
          <w:i/>
        </w:rPr>
        <w:t xml:space="preserve"> See </w:t>
      </w:r>
      <w:r w:rsidR="00BA5A5B">
        <w:rPr>
          <w:rFonts w:cs="Times New Roman"/>
          <w:i/>
        </w:rPr>
        <w:t xml:space="preserve">also </w:t>
      </w:r>
      <w:r w:rsidR="00B35EB0">
        <w:rPr>
          <w:rFonts w:cs="Times New Roman"/>
          <w:i/>
        </w:rPr>
        <w:t xml:space="preserve">State v. </w:t>
      </w:r>
      <w:proofErr w:type="spellStart"/>
      <w:r w:rsidR="00B35EB0">
        <w:rPr>
          <w:rFonts w:cs="Times New Roman"/>
          <w:i/>
        </w:rPr>
        <w:t>Skott</w:t>
      </w:r>
      <w:proofErr w:type="spellEnd"/>
      <w:r w:rsidR="00B35EB0">
        <w:rPr>
          <w:rFonts w:cs="Times New Roman"/>
        </w:rPr>
        <w:t>, 2014</w:t>
      </w:r>
      <w:r w:rsidR="00EE4013">
        <w:rPr>
          <w:rFonts w:cs="Times New Roman"/>
        </w:rPr>
        <w:t xml:space="preserve"> WL 6634684 f.2 (Nov. 25, 2014)</w:t>
      </w:r>
      <w:r w:rsidR="002F45FC">
        <w:rPr>
          <w:rFonts w:cs="Times New Roman"/>
        </w:rPr>
        <w:t xml:space="preserve"> </w:t>
      </w:r>
      <w:r w:rsidR="00EE4013">
        <w:rPr>
          <w:rFonts w:cs="Times New Roman"/>
        </w:rPr>
        <w:t xml:space="preserve">(Prosecutor in the Law Division dismissed the disorderly conduct charge against the defendant </w:t>
      </w:r>
      <w:r w:rsidR="00EE4013">
        <w:rPr>
          <w:rFonts w:cs="Times New Roman"/>
          <w:i/>
        </w:rPr>
        <w:t>citing State in the interest of H.D.</w:t>
      </w:r>
      <w:r w:rsidR="00EE4013">
        <w:rPr>
          <w:rFonts w:cs="Times New Roman"/>
        </w:rPr>
        <w:t>, 206 N.J. Super. 58, 61 (App. Div. 1985)).</w:t>
      </w:r>
    </w:p>
  </w:footnote>
  <w:footnote w:id="49">
    <w:p w14:paraId="5E0873AE" w14:textId="449FC425" w:rsidR="00E521AE" w:rsidRDefault="00E521AE" w:rsidP="00BA5A5B">
      <w:pPr>
        <w:pStyle w:val="FootnoteText"/>
        <w:jc w:val="both"/>
      </w:pPr>
      <w:r>
        <w:rPr>
          <w:rStyle w:val="FootnoteReference"/>
        </w:rPr>
        <w:footnoteRef/>
      </w:r>
      <w:r>
        <w:t xml:space="preserve"> </w:t>
      </w:r>
      <w:r w:rsidR="0002377B">
        <w:t xml:space="preserve">A1324, </w:t>
      </w:r>
      <w:r w:rsidRPr="00EE08E9">
        <w:t xml:space="preserve">2018 </w:t>
      </w:r>
      <w:r w:rsidR="0002377B">
        <w:t>Leg., 218</w:t>
      </w:r>
      <w:r w:rsidR="0002377B" w:rsidRPr="0002377B">
        <w:rPr>
          <w:vertAlign w:val="superscript"/>
        </w:rPr>
        <w:t>th</w:t>
      </w:r>
      <w:r w:rsidR="0002377B">
        <w:t xml:space="preserve"> </w:t>
      </w:r>
      <w:r w:rsidRPr="00EE08E9">
        <w:t>Leg</w:t>
      </w:r>
      <w:r w:rsidR="0002377B">
        <w:t>., 1</w:t>
      </w:r>
      <w:r w:rsidR="0002377B" w:rsidRPr="0002377B">
        <w:rPr>
          <w:vertAlign w:val="superscript"/>
        </w:rPr>
        <w:t>st</w:t>
      </w:r>
      <w:r w:rsidR="0002377B">
        <w:t xml:space="preserve"> </w:t>
      </w:r>
      <w:r w:rsidRPr="00EE08E9">
        <w:t>Sess.</w:t>
      </w:r>
      <w:r w:rsidR="0002377B">
        <w:t xml:space="preserve"> (N.J. 2018). </w:t>
      </w:r>
    </w:p>
  </w:footnote>
  <w:footnote w:id="50">
    <w:p w14:paraId="054ACD28" w14:textId="77777777" w:rsidR="00E521AE" w:rsidRPr="00F66A0A" w:rsidRDefault="00E521AE" w:rsidP="00BA5A5B">
      <w:pPr>
        <w:pStyle w:val="FootnoteText"/>
        <w:jc w:val="both"/>
        <w:rPr>
          <w:i/>
        </w:rPr>
      </w:pPr>
      <w:r>
        <w:rPr>
          <w:rStyle w:val="FootnoteReference"/>
        </w:rPr>
        <w:footnoteRef/>
      </w:r>
      <w:r>
        <w:t xml:space="preserve"> </w:t>
      </w:r>
      <w:r>
        <w:rPr>
          <w:i/>
        </w:rPr>
        <w:t>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B2"/>
    <w:rsid w:val="00003AD8"/>
    <w:rsid w:val="0000761C"/>
    <w:rsid w:val="00015E36"/>
    <w:rsid w:val="00021B94"/>
    <w:rsid w:val="0002377B"/>
    <w:rsid w:val="00031B01"/>
    <w:rsid w:val="00040558"/>
    <w:rsid w:val="00042C3B"/>
    <w:rsid w:val="00045135"/>
    <w:rsid w:val="00046048"/>
    <w:rsid w:val="0005155E"/>
    <w:rsid w:val="000524BE"/>
    <w:rsid w:val="00055AAD"/>
    <w:rsid w:val="00065F49"/>
    <w:rsid w:val="0007423B"/>
    <w:rsid w:val="000827AB"/>
    <w:rsid w:val="00082C62"/>
    <w:rsid w:val="00082E63"/>
    <w:rsid w:val="00083330"/>
    <w:rsid w:val="00084AE9"/>
    <w:rsid w:val="000917FA"/>
    <w:rsid w:val="00094B63"/>
    <w:rsid w:val="000A2276"/>
    <w:rsid w:val="000A2519"/>
    <w:rsid w:val="000A37A6"/>
    <w:rsid w:val="000A4B76"/>
    <w:rsid w:val="000A575F"/>
    <w:rsid w:val="000A5CBF"/>
    <w:rsid w:val="000A665C"/>
    <w:rsid w:val="000A7484"/>
    <w:rsid w:val="000B29C8"/>
    <w:rsid w:val="000B571B"/>
    <w:rsid w:val="000F1793"/>
    <w:rsid w:val="00101419"/>
    <w:rsid w:val="001116E7"/>
    <w:rsid w:val="00125E17"/>
    <w:rsid w:val="001261C6"/>
    <w:rsid w:val="0012635B"/>
    <w:rsid w:val="00132C89"/>
    <w:rsid w:val="00135206"/>
    <w:rsid w:val="00146E56"/>
    <w:rsid w:val="001516D1"/>
    <w:rsid w:val="00153823"/>
    <w:rsid w:val="001541D7"/>
    <w:rsid w:val="00154606"/>
    <w:rsid w:val="00161E87"/>
    <w:rsid w:val="00162FCE"/>
    <w:rsid w:val="00187328"/>
    <w:rsid w:val="0019562C"/>
    <w:rsid w:val="0019579D"/>
    <w:rsid w:val="0019608F"/>
    <w:rsid w:val="001A0506"/>
    <w:rsid w:val="001A23F2"/>
    <w:rsid w:val="001A44E5"/>
    <w:rsid w:val="001A5651"/>
    <w:rsid w:val="001A586D"/>
    <w:rsid w:val="001B0946"/>
    <w:rsid w:val="001B63BE"/>
    <w:rsid w:val="001C17EC"/>
    <w:rsid w:val="001C284F"/>
    <w:rsid w:val="001C66A9"/>
    <w:rsid w:val="001C7143"/>
    <w:rsid w:val="001D46A3"/>
    <w:rsid w:val="001E2281"/>
    <w:rsid w:val="001E2C0B"/>
    <w:rsid w:val="001E302D"/>
    <w:rsid w:val="001F4B06"/>
    <w:rsid w:val="00201D7B"/>
    <w:rsid w:val="00212469"/>
    <w:rsid w:val="002126E1"/>
    <w:rsid w:val="002133A2"/>
    <w:rsid w:val="00213737"/>
    <w:rsid w:val="00213CD1"/>
    <w:rsid w:val="0021595B"/>
    <w:rsid w:val="0022361B"/>
    <w:rsid w:val="00226E27"/>
    <w:rsid w:val="0023287B"/>
    <w:rsid w:val="00237C34"/>
    <w:rsid w:val="002410AF"/>
    <w:rsid w:val="00253554"/>
    <w:rsid w:val="00260BD0"/>
    <w:rsid w:val="002627C9"/>
    <w:rsid w:val="00263824"/>
    <w:rsid w:val="00264E47"/>
    <w:rsid w:val="002665F4"/>
    <w:rsid w:val="00274E38"/>
    <w:rsid w:val="00282731"/>
    <w:rsid w:val="002873F0"/>
    <w:rsid w:val="00287AA9"/>
    <w:rsid w:val="0029405B"/>
    <w:rsid w:val="0029481D"/>
    <w:rsid w:val="00296B0E"/>
    <w:rsid w:val="002A3D15"/>
    <w:rsid w:val="002A4150"/>
    <w:rsid w:val="002A60F5"/>
    <w:rsid w:val="002A6F5F"/>
    <w:rsid w:val="002B02FD"/>
    <w:rsid w:val="002B14FF"/>
    <w:rsid w:val="002B5562"/>
    <w:rsid w:val="002B6E90"/>
    <w:rsid w:val="002C782F"/>
    <w:rsid w:val="002D525F"/>
    <w:rsid w:val="002E00FA"/>
    <w:rsid w:val="002E5EA9"/>
    <w:rsid w:val="002F1680"/>
    <w:rsid w:val="002F45FC"/>
    <w:rsid w:val="002F7062"/>
    <w:rsid w:val="00303F66"/>
    <w:rsid w:val="003041D5"/>
    <w:rsid w:val="003135F8"/>
    <w:rsid w:val="00314A44"/>
    <w:rsid w:val="0032430B"/>
    <w:rsid w:val="0033017E"/>
    <w:rsid w:val="003312FC"/>
    <w:rsid w:val="00331BF7"/>
    <w:rsid w:val="003357A2"/>
    <w:rsid w:val="0033609C"/>
    <w:rsid w:val="00336A84"/>
    <w:rsid w:val="003433EC"/>
    <w:rsid w:val="00347386"/>
    <w:rsid w:val="00347992"/>
    <w:rsid w:val="00362E91"/>
    <w:rsid w:val="0036310B"/>
    <w:rsid w:val="003675AB"/>
    <w:rsid w:val="003676DB"/>
    <w:rsid w:val="00381404"/>
    <w:rsid w:val="00383791"/>
    <w:rsid w:val="00392A32"/>
    <w:rsid w:val="00396C31"/>
    <w:rsid w:val="003973DA"/>
    <w:rsid w:val="003A4E04"/>
    <w:rsid w:val="003A552C"/>
    <w:rsid w:val="003B3986"/>
    <w:rsid w:val="003B6319"/>
    <w:rsid w:val="003C2CFC"/>
    <w:rsid w:val="003C419F"/>
    <w:rsid w:val="003C6334"/>
    <w:rsid w:val="003D44D6"/>
    <w:rsid w:val="003D6FBA"/>
    <w:rsid w:val="003D7415"/>
    <w:rsid w:val="003E27B0"/>
    <w:rsid w:val="003E27BC"/>
    <w:rsid w:val="003F5115"/>
    <w:rsid w:val="00400C21"/>
    <w:rsid w:val="00401A72"/>
    <w:rsid w:val="00402A54"/>
    <w:rsid w:val="00404F83"/>
    <w:rsid w:val="0040624E"/>
    <w:rsid w:val="00416096"/>
    <w:rsid w:val="004324BD"/>
    <w:rsid w:val="00442529"/>
    <w:rsid w:val="0044350E"/>
    <w:rsid w:val="004477E3"/>
    <w:rsid w:val="004528C9"/>
    <w:rsid w:val="00452C8E"/>
    <w:rsid w:val="004608E0"/>
    <w:rsid w:val="00462460"/>
    <w:rsid w:val="004656A6"/>
    <w:rsid w:val="004805D5"/>
    <w:rsid w:val="004820E8"/>
    <w:rsid w:val="00490565"/>
    <w:rsid w:val="004A559E"/>
    <w:rsid w:val="004B7488"/>
    <w:rsid w:val="004C60B2"/>
    <w:rsid w:val="004C68D4"/>
    <w:rsid w:val="004C69DC"/>
    <w:rsid w:val="004D02F0"/>
    <w:rsid w:val="004D4A5F"/>
    <w:rsid w:val="004E4294"/>
    <w:rsid w:val="004E4D5D"/>
    <w:rsid w:val="00510254"/>
    <w:rsid w:val="00517570"/>
    <w:rsid w:val="00523346"/>
    <w:rsid w:val="005400D4"/>
    <w:rsid w:val="00543108"/>
    <w:rsid w:val="00546BEF"/>
    <w:rsid w:val="00546D32"/>
    <w:rsid w:val="005511B2"/>
    <w:rsid w:val="00557D15"/>
    <w:rsid w:val="00557D54"/>
    <w:rsid w:val="0056326A"/>
    <w:rsid w:val="005644C8"/>
    <w:rsid w:val="005750AF"/>
    <w:rsid w:val="00586F55"/>
    <w:rsid w:val="0059044D"/>
    <w:rsid w:val="00592BBC"/>
    <w:rsid w:val="005932A9"/>
    <w:rsid w:val="00594A82"/>
    <w:rsid w:val="00595C8F"/>
    <w:rsid w:val="005A66BC"/>
    <w:rsid w:val="005B5750"/>
    <w:rsid w:val="005B60B3"/>
    <w:rsid w:val="005B71FA"/>
    <w:rsid w:val="005C21B7"/>
    <w:rsid w:val="005D2304"/>
    <w:rsid w:val="005D5665"/>
    <w:rsid w:val="005E23CB"/>
    <w:rsid w:val="005F0D25"/>
    <w:rsid w:val="0060186F"/>
    <w:rsid w:val="006031F3"/>
    <w:rsid w:val="00616658"/>
    <w:rsid w:val="00617921"/>
    <w:rsid w:val="0062103E"/>
    <w:rsid w:val="00621DC0"/>
    <w:rsid w:val="00622CAC"/>
    <w:rsid w:val="00624603"/>
    <w:rsid w:val="00626059"/>
    <w:rsid w:val="00630D00"/>
    <w:rsid w:val="00640282"/>
    <w:rsid w:val="006421CE"/>
    <w:rsid w:val="00646863"/>
    <w:rsid w:val="006504DA"/>
    <w:rsid w:val="0065175C"/>
    <w:rsid w:val="0066274F"/>
    <w:rsid w:val="0067149E"/>
    <w:rsid w:val="00671C54"/>
    <w:rsid w:val="006800CC"/>
    <w:rsid w:val="006805A1"/>
    <w:rsid w:val="00695ADC"/>
    <w:rsid w:val="006A038D"/>
    <w:rsid w:val="006A0B00"/>
    <w:rsid w:val="006A5AAA"/>
    <w:rsid w:val="006B4B8C"/>
    <w:rsid w:val="006C45E4"/>
    <w:rsid w:val="006C537F"/>
    <w:rsid w:val="006D0D63"/>
    <w:rsid w:val="006D7040"/>
    <w:rsid w:val="006E2BBC"/>
    <w:rsid w:val="006F1846"/>
    <w:rsid w:val="006F254B"/>
    <w:rsid w:val="006F7909"/>
    <w:rsid w:val="00701E82"/>
    <w:rsid w:val="007064F1"/>
    <w:rsid w:val="00711A73"/>
    <w:rsid w:val="0071713A"/>
    <w:rsid w:val="00725E97"/>
    <w:rsid w:val="00727147"/>
    <w:rsid w:val="00751C4D"/>
    <w:rsid w:val="007600F9"/>
    <w:rsid w:val="00761ABE"/>
    <w:rsid w:val="00761AFF"/>
    <w:rsid w:val="00761E02"/>
    <w:rsid w:val="00762CA1"/>
    <w:rsid w:val="00765BFA"/>
    <w:rsid w:val="00767B9D"/>
    <w:rsid w:val="0077670A"/>
    <w:rsid w:val="007820EA"/>
    <w:rsid w:val="007A2A49"/>
    <w:rsid w:val="007B47C4"/>
    <w:rsid w:val="007B6D0E"/>
    <w:rsid w:val="007C1F42"/>
    <w:rsid w:val="007C6CE4"/>
    <w:rsid w:val="007D2C4D"/>
    <w:rsid w:val="007E537F"/>
    <w:rsid w:val="007F6DC7"/>
    <w:rsid w:val="00804903"/>
    <w:rsid w:val="00812F59"/>
    <w:rsid w:val="008225B5"/>
    <w:rsid w:val="0082527F"/>
    <w:rsid w:val="00830224"/>
    <w:rsid w:val="00836D63"/>
    <w:rsid w:val="00837D8B"/>
    <w:rsid w:val="00843D33"/>
    <w:rsid w:val="008617C0"/>
    <w:rsid w:val="00861CC1"/>
    <w:rsid w:val="0087225A"/>
    <w:rsid w:val="00881D38"/>
    <w:rsid w:val="00886B69"/>
    <w:rsid w:val="00891136"/>
    <w:rsid w:val="008D720D"/>
    <w:rsid w:val="008D78B8"/>
    <w:rsid w:val="008E7C88"/>
    <w:rsid w:val="008F2F0B"/>
    <w:rsid w:val="008F6052"/>
    <w:rsid w:val="008F6EBA"/>
    <w:rsid w:val="00905E8C"/>
    <w:rsid w:val="00913CDF"/>
    <w:rsid w:val="009159D6"/>
    <w:rsid w:val="009175FD"/>
    <w:rsid w:val="00921DDD"/>
    <w:rsid w:val="00923ED1"/>
    <w:rsid w:val="00927105"/>
    <w:rsid w:val="00933C19"/>
    <w:rsid w:val="00935109"/>
    <w:rsid w:val="0094503A"/>
    <w:rsid w:val="00946717"/>
    <w:rsid w:val="009475DC"/>
    <w:rsid w:val="0094780D"/>
    <w:rsid w:val="009507A3"/>
    <w:rsid w:val="0095297D"/>
    <w:rsid w:val="00953F30"/>
    <w:rsid w:val="009546AE"/>
    <w:rsid w:val="00955379"/>
    <w:rsid w:val="009741D1"/>
    <w:rsid w:val="0097592B"/>
    <w:rsid w:val="009A1707"/>
    <w:rsid w:val="009A6494"/>
    <w:rsid w:val="009B0702"/>
    <w:rsid w:val="009C0FE3"/>
    <w:rsid w:val="009C2A33"/>
    <w:rsid w:val="009C392B"/>
    <w:rsid w:val="009C4661"/>
    <w:rsid w:val="009C75E7"/>
    <w:rsid w:val="009D1667"/>
    <w:rsid w:val="009D5879"/>
    <w:rsid w:val="009D5F5C"/>
    <w:rsid w:val="009D7166"/>
    <w:rsid w:val="009E27AB"/>
    <w:rsid w:val="009E64DB"/>
    <w:rsid w:val="009E7F6D"/>
    <w:rsid w:val="009F59DF"/>
    <w:rsid w:val="00A04ED6"/>
    <w:rsid w:val="00A24D4B"/>
    <w:rsid w:val="00A25623"/>
    <w:rsid w:val="00A35285"/>
    <w:rsid w:val="00A37DD4"/>
    <w:rsid w:val="00A449B2"/>
    <w:rsid w:val="00A44C2F"/>
    <w:rsid w:val="00A50640"/>
    <w:rsid w:val="00A50E24"/>
    <w:rsid w:val="00A56530"/>
    <w:rsid w:val="00A675AE"/>
    <w:rsid w:val="00A842C5"/>
    <w:rsid w:val="00A87ADF"/>
    <w:rsid w:val="00AA22CD"/>
    <w:rsid w:val="00AA2369"/>
    <w:rsid w:val="00AA4E09"/>
    <w:rsid w:val="00AA57F1"/>
    <w:rsid w:val="00AB1C29"/>
    <w:rsid w:val="00AB37F3"/>
    <w:rsid w:val="00AC7541"/>
    <w:rsid w:val="00AE3303"/>
    <w:rsid w:val="00AE3907"/>
    <w:rsid w:val="00AE4B16"/>
    <w:rsid w:val="00AE6C01"/>
    <w:rsid w:val="00AF0DC9"/>
    <w:rsid w:val="00B0611F"/>
    <w:rsid w:val="00B1051C"/>
    <w:rsid w:val="00B15625"/>
    <w:rsid w:val="00B2448D"/>
    <w:rsid w:val="00B2540B"/>
    <w:rsid w:val="00B3218B"/>
    <w:rsid w:val="00B35EB0"/>
    <w:rsid w:val="00B372A3"/>
    <w:rsid w:val="00B41449"/>
    <w:rsid w:val="00B42015"/>
    <w:rsid w:val="00B4229D"/>
    <w:rsid w:val="00B4382E"/>
    <w:rsid w:val="00B5088B"/>
    <w:rsid w:val="00B52331"/>
    <w:rsid w:val="00B62464"/>
    <w:rsid w:val="00B7414B"/>
    <w:rsid w:val="00B75029"/>
    <w:rsid w:val="00B77C60"/>
    <w:rsid w:val="00B77CC8"/>
    <w:rsid w:val="00B84554"/>
    <w:rsid w:val="00B8494B"/>
    <w:rsid w:val="00B855C2"/>
    <w:rsid w:val="00B94D92"/>
    <w:rsid w:val="00B95E5C"/>
    <w:rsid w:val="00B95F91"/>
    <w:rsid w:val="00B9672A"/>
    <w:rsid w:val="00BA1844"/>
    <w:rsid w:val="00BA5A5B"/>
    <w:rsid w:val="00BC3B30"/>
    <w:rsid w:val="00BD2DAA"/>
    <w:rsid w:val="00BE15AD"/>
    <w:rsid w:val="00BE4CAF"/>
    <w:rsid w:val="00BF6748"/>
    <w:rsid w:val="00C023A1"/>
    <w:rsid w:val="00C027EA"/>
    <w:rsid w:val="00C05BB6"/>
    <w:rsid w:val="00C13D15"/>
    <w:rsid w:val="00C1756F"/>
    <w:rsid w:val="00C17B89"/>
    <w:rsid w:val="00C2793C"/>
    <w:rsid w:val="00C353E2"/>
    <w:rsid w:val="00C414A2"/>
    <w:rsid w:val="00C41F22"/>
    <w:rsid w:val="00C42336"/>
    <w:rsid w:val="00C47DCB"/>
    <w:rsid w:val="00C50665"/>
    <w:rsid w:val="00C51269"/>
    <w:rsid w:val="00C51E85"/>
    <w:rsid w:val="00C53E5B"/>
    <w:rsid w:val="00C6315E"/>
    <w:rsid w:val="00C67A07"/>
    <w:rsid w:val="00C85E2F"/>
    <w:rsid w:val="00C86C93"/>
    <w:rsid w:val="00C87FB9"/>
    <w:rsid w:val="00CA049E"/>
    <w:rsid w:val="00CA3546"/>
    <w:rsid w:val="00CB3319"/>
    <w:rsid w:val="00CB72A4"/>
    <w:rsid w:val="00CC3ECE"/>
    <w:rsid w:val="00CC5AB9"/>
    <w:rsid w:val="00CD7C32"/>
    <w:rsid w:val="00CE552B"/>
    <w:rsid w:val="00CF0935"/>
    <w:rsid w:val="00CF1CF0"/>
    <w:rsid w:val="00D012BA"/>
    <w:rsid w:val="00D05C60"/>
    <w:rsid w:val="00D15385"/>
    <w:rsid w:val="00D216B2"/>
    <w:rsid w:val="00D23912"/>
    <w:rsid w:val="00D23A17"/>
    <w:rsid w:val="00D30DF6"/>
    <w:rsid w:val="00D46DAE"/>
    <w:rsid w:val="00D602E6"/>
    <w:rsid w:val="00D624D1"/>
    <w:rsid w:val="00D63FA5"/>
    <w:rsid w:val="00D72614"/>
    <w:rsid w:val="00D73832"/>
    <w:rsid w:val="00D778CD"/>
    <w:rsid w:val="00D821DF"/>
    <w:rsid w:val="00D830BD"/>
    <w:rsid w:val="00D83140"/>
    <w:rsid w:val="00D83DEB"/>
    <w:rsid w:val="00D84595"/>
    <w:rsid w:val="00DA1B1D"/>
    <w:rsid w:val="00DA5A8B"/>
    <w:rsid w:val="00DA6974"/>
    <w:rsid w:val="00DB01FF"/>
    <w:rsid w:val="00DB43E0"/>
    <w:rsid w:val="00DB52D8"/>
    <w:rsid w:val="00DB7BF2"/>
    <w:rsid w:val="00DC3109"/>
    <w:rsid w:val="00DC3546"/>
    <w:rsid w:val="00DD2C57"/>
    <w:rsid w:val="00DD699B"/>
    <w:rsid w:val="00DE56C0"/>
    <w:rsid w:val="00DE5F6A"/>
    <w:rsid w:val="00DF73B8"/>
    <w:rsid w:val="00E0277B"/>
    <w:rsid w:val="00E119D8"/>
    <w:rsid w:val="00E14B32"/>
    <w:rsid w:val="00E15289"/>
    <w:rsid w:val="00E25725"/>
    <w:rsid w:val="00E3126E"/>
    <w:rsid w:val="00E32CD4"/>
    <w:rsid w:val="00E34230"/>
    <w:rsid w:val="00E42365"/>
    <w:rsid w:val="00E47A61"/>
    <w:rsid w:val="00E519E5"/>
    <w:rsid w:val="00E521AE"/>
    <w:rsid w:val="00E539F2"/>
    <w:rsid w:val="00E545E2"/>
    <w:rsid w:val="00E609FE"/>
    <w:rsid w:val="00E657B9"/>
    <w:rsid w:val="00E71BF2"/>
    <w:rsid w:val="00E72258"/>
    <w:rsid w:val="00E7239C"/>
    <w:rsid w:val="00E76896"/>
    <w:rsid w:val="00E81C8F"/>
    <w:rsid w:val="00E926D8"/>
    <w:rsid w:val="00E94260"/>
    <w:rsid w:val="00E96C66"/>
    <w:rsid w:val="00E97036"/>
    <w:rsid w:val="00EA48C9"/>
    <w:rsid w:val="00EB0A7D"/>
    <w:rsid w:val="00EB1855"/>
    <w:rsid w:val="00EB1994"/>
    <w:rsid w:val="00EB3AE8"/>
    <w:rsid w:val="00EC1AAB"/>
    <w:rsid w:val="00EC3183"/>
    <w:rsid w:val="00EC5C29"/>
    <w:rsid w:val="00EE3E88"/>
    <w:rsid w:val="00EE4013"/>
    <w:rsid w:val="00EE4B32"/>
    <w:rsid w:val="00EF0B39"/>
    <w:rsid w:val="00EF2BAE"/>
    <w:rsid w:val="00F1053C"/>
    <w:rsid w:val="00F105C2"/>
    <w:rsid w:val="00F11339"/>
    <w:rsid w:val="00F11797"/>
    <w:rsid w:val="00F159E8"/>
    <w:rsid w:val="00F20C11"/>
    <w:rsid w:val="00F21E81"/>
    <w:rsid w:val="00F3001A"/>
    <w:rsid w:val="00F45076"/>
    <w:rsid w:val="00F45192"/>
    <w:rsid w:val="00F52395"/>
    <w:rsid w:val="00F64D6C"/>
    <w:rsid w:val="00F721AE"/>
    <w:rsid w:val="00F7288C"/>
    <w:rsid w:val="00F7504E"/>
    <w:rsid w:val="00F764F1"/>
    <w:rsid w:val="00F83DD2"/>
    <w:rsid w:val="00F91B8D"/>
    <w:rsid w:val="00F920DA"/>
    <w:rsid w:val="00F93F1D"/>
    <w:rsid w:val="00F9428B"/>
    <w:rsid w:val="00FA3ECB"/>
    <w:rsid w:val="00FA6EBE"/>
    <w:rsid w:val="00FA7873"/>
    <w:rsid w:val="00FB328C"/>
    <w:rsid w:val="00FC1B77"/>
    <w:rsid w:val="00FC5ECF"/>
    <w:rsid w:val="00FD1A69"/>
    <w:rsid w:val="00FE4C72"/>
    <w:rsid w:val="00FE5C36"/>
    <w:rsid w:val="00FF1E48"/>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50AF"/>
    <w:pPr>
      <w:spacing w:after="0" w:line="240" w:lineRule="auto"/>
    </w:pPr>
    <w:rPr>
      <w:sz w:val="20"/>
      <w:szCs w:val="20"/>
    </w:rPr>
  </w:style>
  <w:style w:type="character" w:customStyle="1" w:styleId="FootnoteTextChar">
    <w:name w:val="Footnote Text Char"/>
    <w:basedOn w:val="DefaultParagraphFont"/>
    <w:link w:val="FootnoteText"/>
    <w:uiPriority w:val="99"/>
    <w:rsid w:val="005750AF"/>
    <w:rPr>
      <w:sz w:val="20"/>
      <w:szCs w:val="20"/>
    </w:rPr>
  </w:style>
  <w:style w:type="character" w:styleId="FootnoteReference">
    <w:name w:val="footnote reference"/>
    <w:basedOn w:val="DefaultParagraphFont"/>
    <w:uiPriority w:val="99"/>
    <w:semiHidden/>
    <w:unhideWhenUsed/>
    <w:rsid w:val="005750AF"/>
    <w:rPr>
      <w:vertAlign w:val="superscript"/>
    </w:rPr>
  </w:style>
  <w:style w:type="character" w:styleId="Hyperlink">
    <w:name w:val="Hyperlink"/>
    <w:basedOn w:val="DefaultParagraphFont"/>
    <w:uiPriority w:val="99"/>
    <w:unhideWhenUsed/>
    <w:rsid w:val="00EC5C29"/>
    <w:rPr>
      <w:color w:val="0000FF" w:themeColor="hyperlink"/>
      <w:u w:val="single"/>
    </w:rPr>
  </w:style>
  <w:style w:type="paragraph" w:styleId="Header">
    <w:name w:val="header"/>
    <w:basedOn w:val="Normal"/>
    <w:link w:val="HeaderChar"/>
    <w:uiPriority w:val="99"/>
    <w:unhideWhenUsed/>
    <w:rsid w:val="00FC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CF"/>
  </w:style>
  <w:style w:type="paragraph" w:styleId="Footer">
    <w:name w:val="footer"/>
    <w:basedOn w:val="Normal"/>
    <w:link w:val="FooterChar"/>
    <w:uiPriority w:val="99"/>
    <w:unhideWhenUsed/>
    <w:rsid w:val="00FC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CF"/>
  </w:style>
  <w:style w:type="character" w:styleId="CommentReference">
    <w:name w:val="annotation reference"/>
    <w:basedOn w:val="DefaultParagraphFont"/>
    <w:uiPriority w:val="99"/>
    <w:semiHidden/>
    <w:unhideWhenUsed/>
    <w:rsid w:val="0067149E"/>
    <w:rPr>
      <w:sz w:val="16"/>
      <w:szCs w:val="16"/>
    </w:rPr>
  </w:style>
  <w:style w:type="paragraph" w:styleId="CommentText">
    <w:name w:val="annotation text"/>
    <w:basedOn w:val="Normal"/>
    <w:link w:val="CommentTextChar"/>
    <w:uiPriority w:val="99"/>
    <w:semiHidden/>
    <w:unhideWhenUsed/>
    <w:rsid w:val="0067149E"/>
    <w:pPr>
      <w:spacing w:line="240" w:lineRule="auto"/>
    </w:pPr>
    <w:rPr>
      <w:sz w:val="20"/>
      <w:szCs w:val="20"/>
    </w:rPr>
  </w:style>
  <w:style w:type="character" w:customStyle="1" w:styleId="CommentTextChar">
    <w:name w:val="Comment Text Char"/>
    <w:basedOn w:val="DefaultParagraphFont"/>
    <w:link w:val="CommentText"/>
    <w:uiPriority w:val="99"/>
    <w:semiHidden/>
    <w:rsid w:val="0067149E"/>
    <w:rPr>
      <w:sz w:val="20"/>
      <w:szCs w:val="20"/>
    </w:rPr>
  </w:style>
  <w:style w:type="paragraph" w:styleId="CommentSubject">
    <w:name w:val="annotation subject"/>
    <w:basedOn w:val="CommentText"/>
    <w:next w:val="CommentText"/>
    <w:link w:val="CommentSubjectChar"/>
    <w:uiPriority w:val="99"/>
    <w:semiHidden/>
    <w:unhideWhenUsed/>
    <w:rsid w:val="0067149E"/>
    <w:rPr>
      <w:b/>
      <w:bCs/>
    </w:rPr>
  </w:style>
  <w:style w:type="character" w:customStyle="1" w:styleId="CommentSubjectChar">
    <w:name w:val="Comment Subject Char"/>
    <w:basedOn w:val="CommentTextChar"/>
    <w:link w:val="CommentSubject"/>
    <w:uiPriority w:val="99"/>
    <w:semiHidden/>
    <w:rsid w:val="0067149E"/>
    <w:rPr>
      <w:b/>
      <w:bCs/>
      <w:sz w:val="20"/>
      <w:szCs w:val="20"/>
    </w:rPr>
  </w:style>
  <w:style w:type="paragraph" w:styleId="BalloonText">
    <w:name w:val="Balloon Text"/>
    <w:basedOn w:val="Normal"/>
    <w:link w:val="BalloonTextChar"/>
    <w:uiPriority w:val="99"/>
    <w:semiHidden/>
    <w:unhideWhenUsed/>
    <w:rsid w:val="0067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9E"/>
    <w:rPr>
      <w:rFonts w:ascii="Segoe UI" w:hAnsi="Segoe UI" w:cs="Segoe UI"/>
      <w:sz w:val="18"/>
      <w:szCs w:val="18"/>
    </w:rPr>
  </w:style>
  <w:style w:type="character" w:styleId="FollowedHyperlink">
    <w:name w:val="FollowedHyperlink"/>
    <w:basedOn w:val="DefaultParagraphFont"/>
    <w:uiPriority w:val="99"/>
    <w:semiHidden/>
    <w:unhideWhenUsed/>
    <w:rsid w:val="006A5AAA"/>
    <w:rPr>
      <w:color w:val="800080" w:themeColor="followedHyperlink"/>
      <w:u w:val="single"/>
    </w:rPr>
  </w:style>
  <w:style w:type="character" w:customStyle="1" w:styleId="UnresolvedMention1">
    <w:name w:val="Unresolved Mention1"/>
    <w:basedOn w:val="DefaultParagraphFont"/>
    <w:uiPriority w:val="99"/>
    <w:semiHidden/>
    <w:unhideWhenUsed/>
    <w:rsid w:val="003B398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50AF"/>
    <w:pPr>
      <w:spacing w:after="0" w:line="240" w:lineRule="auto"/>
    </w:pPr>
    <w:rPr>
      <w:sz w:val="20"/>
      <w:szCs w:val="20"/>
    </w:rPr>
  </w:style>
  <w:style w:type="character" w:customStyle="1" w:styleId="FootnoteTextChar">
    <w:name w:val="Footnote Text Char"/>
    <w:basedOn w:val="DefaultParagraphFont"/>
    <w:link w:val="FootnoteText"/>
    <w:uiPriority w:val="99"/>
    <w:rsid w:val="005750AF"/>
    <w:rPr>
      <w:sz w:val="20"/>
      <w:szCs w:val="20"/>
    </w:rPr>
  </w:style>
  <w:style w:type="character" w:styleId="FootnoteReference">
    <w:name w:val="footnote reference"/>
    <w:basedOn w:val="DefaultParagraphFont"/>
    <w:uiPriority w:val="99"/>
    <w:semiHidden/>
    <w:unhideWhenUsed/>
    <w:rsid w:val="005750AF"/>
    <w:rPr>
      <w:vertAlign w:val="superscript"/>
    </w:rPr>
  </w:style>
  <w:style w:type="character" w:styleId="Hyperlink">
    <w:name w:val="Hyperlink"/>
    <w:basedOn w:val="DefaultParagraphFont"/>
    <w:uiPriority w:val="99"/>
    <w:unhideWhenUsed/>
    <w:rsid w:val="00EC5C29"/>
    <w:rPr>
      <w:color w:val="0000FF" w:themeColor="hyperlink"/>
      <w:u w:val="single"/>
    </w:rPr>
  </w:style>
  <w:style w:type="paragraph" w:styleId="Header">
    <w:name w:val="header"/>
    <w:basedOn w:val="Normal"/>
    <w:link w:val="HeaderChar"/>
    <w:uiPriority w:val="99"/>
    <w:unhideWhenUsed/>
    <w:rsid w:val="00FC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CF"/>
  </w:style>
  <w:style w:type="paragraph" w:styleId="Footer">
    <w:name w:val="footer"/>
    <w:basedOn w:val="Normal"/>
    <w:link w:val="FooterChar"/>
    <w:uiPriority w:val="99"/>
    <w:unhideWhenUsed/>
    <w:rsid w:val="00FC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CF"/>
  </w:style>
  <w:style w:type="character" w:styleId="CommentReference">
    <w:name w:val="annotation reference"/>
    <w:basedOn w:val="DefaultParagraphFont"/>
    <w:uiPriority w:val="99"/>
    <w:semiHidden/>
    <w:unhideWhenUsed/>
    <w:rsid w:val="0067149E"/>
    <w:rPr>
      <w:sz w:val="16"/>
      <w:szCs w:val="16"/>
    </w:rPr>
  </w:style>
  <w:style w:type="paragraph" w:styleId="CommentText">
    <w:name w:val="annotation text"/>
    <w:basedOn w:val="Normal"/>
    <w:link w:val="CommentTextChar"/>
    <w:uiPriority w:val="99"/>
    <w:semiHidden/>
    <w:unhideWhenUsed/>
    <w:rsid w:val="0067149E"/>
    <w:pPr>
      <w:spacing w:line="240" w:lineRule="auto"/>
    </w:pPr>
    <w:rPr>
      <w:sz w:val="20"/>
      <w:szCs w:val="20"/>
    </w:rPr>
  </w:style>
  <w:style w:type="character" w:customStyle="1" w:styleId="CommentTextChar">
    <w:name w:val="Comment Text Char"/>
    <w:basedOn w:val="DefaultParagraphFont"/>
    <w:link w:val="CommentText"/>
    <w:uiPriority w:val="99"/>
    <w:semiHidden/>
    <w:rsid w:val="0067149E"/>
    <w:rPr>
      <w:sz w:val="20"/>
      <w:szCs w:val="20"/>
    </w:rPr>
  </w:style>
  <w:style w:type="paragraph" w:styleId="CommentSubject">
    <w:name w:val="annotation subject"/>
    <w:basedOn w:val="CommentText"/>
    <w:next w:val="CommentText"/>
    <w:link w:val="CommentSubjectChar"/>
    <w:uiPriority w:val="99"/>
    <w:semiHidden/>
    <w:unhideWhenUsed/>
    <w:rsid w:val="0067149E"/>
    <w:rPr>
      <w:b/>
      <w:bCs/>
    </w:rPr>
  </w:style>
  <w:style w:type="character" w:customStyle="1" w:styleId="CommentSubjectChar">
    <w:name w:val="Comment Subject Char"/>
    <w:basedOn w:val="CommentTextChar"/>
    <w:link w:val="CommentSubject"/>
    <w:uiPriority w:val="99"/>
    <w:semiHidden/>
    <w:rsid w:val="0067149E"/>
    <w:rPr>
      <w:b/>
      <w:bCs/>
      <w:sz w:val="20"/>
      <w:szCs w:val="20"/>
    </w:rPr>
  </w:style>
  <w:style w:type="paragraph" w:styleId="BalloonText">
    <w:name w:val="Balloon Text"/>
    <w:basedOn w:val="Normal"/>
    <w:link w:val="BalloonTextChar"/>
    <w:uiPriority w:val="99"/>
    <w:semiHidden/>
    <w:unhideWhenUsed/>
    <w:rsid w:val="0067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9E"/>
    <w:rPr>
      <w:rFonts w:ascii="Segoe UI" w:hAnsi="Segoe UI" w:cs="Segoe UI"/>
      <w:sz w:val="18"/>
      <w:szCs w:val="18"/>
    </w:rPr>
  </w:style>
  <w:style w:type="character" w:styleId="FollowedHyperlink">
    <w:name w:val="FollowedHyperlink"/>
    <w:basedOn w:val="DefaultParagraphFont"/>
    <w:uiPriority w:val="99"/>
    <w:semiHidden/>
    <w:unhideWhenUsed/>
    <w:rsid w:val="006A5AAA"/>
    <w:rPr>
      <w:color w:val="800080" w:themeColor="followedHyperlink"/>
      <w:u w:val="single"/>
    </w:rPr>
  </w:style>
  <w:style w:type="character" w:customStyle="1" w:styleId="UnresolvedMention1">
    <w:name w:val="Unresolved Mention1"/>
    <w:basedOn w:val="DefaultParagraphFont"/>
    <w:uiPriority w:val="99"/>
    <w:semiHidden/>
    <w:unhideWhenUsed/>
    <w:rsid w:val="003B3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8166">
      <w:bodyDiv w:val="1"/>
      <w:marLeft w:val="0"/>
      <w:marRight w:val="0"/>
      <w:marTop w:val="0"/>
      <w:marBottom w:val="0"/>
      <w:divBdr>
        <w:top w:val="none" w:sz="0" w:space="0" w:color="auto"/>
        <w:left w:val="none" w:sz="0" w:space="0" w:color="auto"/>
        <w:bottom w:val="none" w:sz="0" w:space="0" w:color="auto"/>
        <w:right w:val="none" w:sz="0" w:space="0" w:color="auto"/>
      </w:divBdr>
    </w:div>
    <w:div w:id="1445268897">
      <w:bodyDiv w:val="1"/>
      <w:marLeft w:val="0"/>
      <w:marRight w:val="0"/>
      <w:marTop w:val="0"/>
      <w:marBottom w:val="0"/>
      <w:divBdr>
        <w:top w:val="none" w:sz="0" w:space="0" w:color="auto"/>
        <w:left w:val="none" w:sz="0" w:space="0" w:color="auto"/>
        <w:bottom w:val="none" w:sz="0" w:space="0" w:color="auto"/>
        <w:right w:val="none" w:sz="0" w:space="0" w:color="auto"/>
      </w:divBdr>
      <w:divsChild>
        <w:div w:id="379213233">
          <w:marLeft w:val="0"/>
          <w:marRight w:val="0"/>
          <w:marTop w:val="240"/>
          <w:marBottom w:val="240"/>
          <w:divBdr>
            <w:top w:val="none" w:sz="0" w:space="0" w:color="auto"/>
            <w:left w:val="none" w:sz="0" w:space="0" w:color="auto"/>
            <w:bottom w:val="none" w:sz="0" w:space="0" w:color="auto"/>
            <w:right w:val="none" w:sz="0" w:space="0" w:color="auto"/>
          </w:divBdr>
        </w:div>
        <w:div w:id="2075197609">
          <w:marLeft w:val="0"/>
          <w:marRight w:val="0"/>
          <w:marTop w:val="240"/>
          <w:marBottom w:val="0"/>
          <w:divBdr>
            <w:top w:val="none" w:sz="0" w:space="0" w:color="auto"/>
            <w:left w:val="none" w:sz="0" w:space="0" w:color="auto"/>
            <w:bottom w:val="none" w:sz="0" w:space="0" w:color="auto"/>
            <w:right w:val="none" w:sz="0" w:space="0" w:color="auto"/>
          </w:divBdr>
          <w:divsChild>
            <w:div w:id="1190726063">
              <w:marLeft w:val="0"/>
              <w:marRight w:val="0"/>
              <w:marTop w:val="0"/>
              <w:marBottom w:val="0"/>
              <w:divBdr>
                <w:top w:val="none" w:sz="0" w:space="0" w:color="auto"/>
                <w:left w:val="none" w:sz="0" w:space="0" w:color="auto"/>
                <w:bottom w:val="none" w:sz="0" w:space="0" w:color="auto"/>
                <w:right w:val="none" w:sz="0" w:space="0" w:color="auto"/>
              </w:divBdr>
              <w:divsChild>
                <w:div w:id="977030788">
                  <w:marLeft w:val="0"/>
                  <w:marRight w:val="0"/>
                  <w:marTop w:val="240"/>
                  <w:marBottom w:val="0"/>
                  <w:divBdr>
                    <w:top w:val="none" w:sz="0" w:space="0" w:color="auto"/>
                    <w:left w:val="none" w:sz="0" w:space="0" w:color="auto"/>
                    <w:bottom w:val="none" w:sz="0" w:space="0" w:color="auto"/>
                    <w:right w:val="none" w:sz="0" w:space="0" w:color="auto"/>
                  </w:divBdr>
                  <w:divsChild>
                    <w:div w:id="1437557448">
                      <w:marLeft w:val="0"/>
                      <w:marRight w:val="0"/>
                      <w:marTop w:val="0"/>
                      <w:marBottom w:val="0"/>
                      <w:divBdr>
                        <w:top w:val="none" w:sz="0" w:space="0" w:color="auto"/>
                        <w:left w:val="none" w:sz="0" w:space="0" w:color="auto"/>
                        <w:bottom w:val="none" w:sz="0" w:space="0" w:color="auto"/>
                        <w:right w:val="none" w:sz="0" w:space="0" w:color="auto"/>
                      </w:divBdr>
                      <w:divsChild>
                        <w:div w:id="396633563">
                          <w:marLeft w:val="0"/>
                          <w:marRight w:val="0"/>
                          <w:marTop w:val="0"/>
                          <w:marBottom w:val="0"/>
                          <w:divBdr>
                            <w:top w:val="none" w:sz="0" w:space="0" w:color="auto"/>
                            <w:left w:val="none" w:sz="0" w:space="0" w:color="auto"/>
                            <w:bottom w:val="none" w:sz="0" w:space="0" w:color="auto"/>
                            <w:right w:val="none" w:sz="0" w:space="0" w:color="auto"/>
                          </w:divBdr>
                        </w:div>
                      </w:divsChild>
                    </w:div>
                    <w:div w:id="230122238">
                      <w:marLeft w:val="0"/>
                      <w:marRight w:val="0"/>
                      <w:marTop w:val="240"/>
                      <w:marBottom w:val="0"/>
                      <w:divBdr>
                        <w:top w:val="none" w:sz="0" w:space="0" w:color="auto"/>
                        <w:left w:val="none" w:sz="0" w:space="0" w:color="auto"/>
                        <w:bottom w:val="none" w:sz="0" w:space="0" w:color="auto"/>
                        <w:right w:val="none" w:sz="0" w:space="0" w:color="auto"/>
                      </w:divBdr>
                      <w:divsChild>
                        <w:div w:id="46151000">
                          <w:marLeft w:val="0"/>
                          <w:marRight w:val="0"/>
                          <w:marTop w:val="0"/>
                          <w:marBottom w:val="0"/>
                          <w:divBdr>
                            <w:top w:val="none" w:sz="0" w:space="0" w:color="auto"/>
                            <w:left w:val="none" w:sz="0" w:space="0" w:color="auto"/>
                            <w:bottom w:val="none" w:sz="0" w:space="0" w:color="auto"/>
                            <w:right w:val="none" w:sz="0" w:space="0" w:color="auto"/>
                          </w:divBdr>
                          <w:divsChild>
                            <w:div w:id="1089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8970">
                      <w:marLeft w:val="0"/>
                      <w:marRight w:val="0"/>
                      <w:marTop w:val="240"/>
                      <w:marBottom w:val="0"/>
                      <w:divBdr>
                        <w:top w:val="none" w:sz="0" w:space="0" w:color="auto"/>
                        <w:left w:val="none" w:sz="0" w:space="0" w:color="auto"/>
                        <w:bottom w:val="none" w:sz="0" w:space="0" w:color="auto"/>
                        <w:right w:val="none" w:sz="0" w:space="0" w:color="auto"/>
                      </w:divBdr>
                      <w:divsChild>
                        <w:div w:id="853226505">
                          <w:marLeft w:val="0"/>
                          <w:marRight w:val="0"/>
                          <w:marTop w:val="0"/>
                          <w:marBottom w:val="0"/>
                          <w:divBdr>
                            <w:top w:val="none" w:sz="0" w:space="0" w:color="auto"/>
                            <w:left w:val="none" w:sz="0" w:space="0" w:color="auto"/>
                            <w:bottom w:val="none" w:sz="0" w:space="0" w:color="auto"/>
                            <w:right w:val="none" w:sz="0" w:space="0" w:color="auto"/>
                          </w:divBdr>
                          <w:divsChild>
                            <w:div w:id="1288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1109">
                  <w:marLeft w:val="0"/>
                  <w:marRight w:val="0"/>
                  <w:marTop w:val="240"/>
                  <w:marBottom w:val="0"/>
                  <w:divBdr>
                    <w:top w:val="none" w:sz="0" w:space="0" w:color="auto"/>
                    <w:left w:val="none" w:sz="0" w:space="0" w:color="auto"/>
                    <w:bottom w:val="none" w:sz="0" w:space="0" w:color="auto"/>
                    <w:right w:val="none" w:sz="0" w:space="0" w:color="auto"/>
                  </w:divBdr>
                  <w:divsChild>
                    <w:div w:id="725839891">
                      <w:marLeft w:val="0"/>
                      <w:marRight w:val="0"/>
                      <w:marTop w:val="0"/>
                      <w:marBottom w:val="0"/>
                      <w:divBdr>
                        <w:top w:val="none" w:sz="0" w:space="0" w:color="auto"/>
                        <w:left w:val="none" w:sz="0" w:space="0" w:color="auto"/>
                        <w:bottom w:val="none" w:sz="0" w:space="0" w:color="auto"/>
                        <w:right w:val="none" w:sz="0" w:space="0" w:color="auto"/>
                      </w:divBdr>
                      <w:divsChild>
                        <w:div w:id="766775612">
                          <w:marLeft w:val="0"/>
                          <w:marRight w:val="0"/>
                          <w:marTop w:val="0"/>
                          <w:marBottom w:val="0"/>
                          <w:divBdr>
                            <w:top w:val="none" w:sz="0" w:space="0" w:color="auto"/>
                            <w:left w:val="none" w:sz="0" w:space="0" w:color="auto"/>
                            <w:bottom w:val="none" w:sz="0" w:space="0" w:color="auto"/>
                            <w:right w:val="none" w:sz="0" w:space="0" w:color="auto"/>
                          </w:divBdr>
                        </w:div>
                      </w:divsChild>
                    </w:div>
                    <w:div w:id="137843478">
                      <w:marLeft w:val="0"/>
                      <w:marRight w:val="0"/>
                      <w:marTop w:val="240"/>
                      <w:marBottom w:val="0"/>
                      <w:divBdr>
                        <w:top w:val="none" w:sz="0" w:space="0" w:color="auto"/>
                        <w:left w:val="none" w:sz="0" w:space="0" w:color="auto"/>
                        <w:bottom w:val="none" w:sz="0" w:space="0" w:color="auto"/>
                        <w:right w:val="none" w:sz="0" w:space="0" w:color="auto"/>
                      </w:divBdr>
                      <w:divsChild>
                        <w:div w:id="938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jl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1456-FB3B-4399-91A0-C2F3F0A5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Silver</dc:creator>
  <cp:lastModifiedBy>Sam Silver</cp:lastModifiedBy>
  <cp:revision>2</cp:revision>
  <cp:lastPrinted>2018-11-05T18:22:00Z</cp:lastPrinted>
  <dcterms:created xsi:type="dcterms:W3CDTF">2019-05-16T18:35:00Z</dcterms:created>
  <dcterms:modified xsi:type="dcterms:W3CDTF">2019-05-16T18:35:00Z</dcterms:modified>
</cp:coreProperties>
</file>