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DED03" w14:textId="77777777" w:rsidR="00D8031C" w:rsidRDefault="00D8031C" w:rsidP="00D8031C">
      <w:pPr>
        <w:jc w:val="center"/>
        <w:rPr>
          <w:rFonts w:ascii="Times New Roman" w:eastAsia="Times New Roman" w:hAnsi="Times New Roman" w:cs="Times New Roman"/>
          <w:b/>
          <w:sz w:val="28"/>
          <w:szCs w:val="28"/>
        </w:rPr>
      </w:pPr>
      <w:bookmarkStart w:id="0" w:name="_Toc440286749"/>
      <w:r w:rsidRPr="0046180C">
        <w:rPr>
          <w:rFonts w:ascii="Times New Roman" w:eastAsia="Times New Roman" w:hAnsi="Times New Roman" w:cs="Times New Roman"/>
          <w:noProof/>
        </w:rPr>
        <w:drawing>
          <wp:inline distT="0" distB="0" distL="0" distR="0" wp14:anchorId="49473C8C" wp14:editId="4CEA9935">
            <wp:extent cx="1543050" cy="1466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43050" cy="1466850"/>
                    </a:xfrm>
                    <a:prstGeom prst="rect">
                      <a:avLst/>
                    </a:prstGeom>
                    <a:ln/>
                  </pic:spPr>
                </pic:pic>
              </a:graphicData>
            </a:graphic>
          </wp:inline>
        </w:drawing>
      </w:r>
    </w:p>
    <w:p w14:paraId="616A6015" w14:textId="77777777" w:rsidR="00D8031C" w:rsidRPr="0046180C" w:rsidRDefault="00D8031C" w:rsidP="00D8031C">
      <w:pPr>
        <w:jc w:val="center"/>
        <w:rPr>
          <w:rFonts w:ascii="Times New Roman" w:eastAsia="Times New Roman" w:hAnsi="Times New Roman" w:cs="Times New Roman"/>
          <w:b/>
          <w:sz w:val="28"/>
          <w:szCs w:val="28"/>
        </w:rPr>
      </w:pPr>
    </w:p>
    <w:p w14:paraId="48F4F738" w14:textId="77777777" w:rsidR="00D8031C" w:rsidRPr="0046180C" w:rsidRDefault="00D8031C" w:rsidP="00D8031C">
      <w:pPr>
        <w:spacing w:after="120" w:line="240" w:lineRule="auto"/>
        <w:jc w:val="center"/>
        <w:rPr>
          <w:rFonts w:ascii="Times New Roman" w:eastAsia="Times New Roman" w:hAnsi="Times New Roman" w:cs="Times New Roman"/>
          <w:b/>
          <w:sz w:val="28"/>
          <w:szCs w:val="28"/>
        </w:rPr>
      </w:pPr>
      <w:r w:rsidRPr="0046180C">
        <w:rPr>
          <w:rFonts w:ascii="Times New Roman" w:eastAsia="Times New Roman" w:hAnsi="Times New Roman" w:cs="Times New Roman"/>
          <w:b/>
          <w:sz w:val="28"/>
          <w:szCs w:val="28"/>
        </w:rPr>
        <w:t>NEW JERSEY LAW REVISION COMMISSION</w:t>
      </w:r>
    </w:p>
    <w:p w14:paraId="78BD0744" w14:textId="77777777" w:rsidR="00D8031C" w:rsidRDefault="00D8031C" w:rsidP="00D8031C">
      <w:pPr>
        <w:spacing w:after="0" w:line="240" w:lineRule="auto"/>
        <w:jc w:val="center"/>
        <w:rPr>
          <w:rFonts w:ascii="Times New Roman" w:eastAsia="Times New Roman" w:hAnsi="Times New Roman" w:cs="Times New Roman"/>
          <w:b/>
          <w:sz w:val="28"/>
          <w:szCs w:val="28"/>
        </w:rPr>
      </w:pPr>
    </w:p>
    <w:p w14:paraId="06CCB970" w14:textId="39171BD7" w:rsidR="00D8031C" w:rsidRPr="0046180C" w:rsidRDefault="00D8031C" w:rsidP="00D8031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Draft </w:t>
      </w:r>
      <w:r w:rsidR="00C760B7">
        <w:rPr>
          <w:rFonts w:ascii="Times New Roman" w:eastAsia="Times New Roman" w:hAnsi="Times New Roman" w:cs="Times New Roman"/>
          <w:b/>
          <w:sz w:val="28"/>
          <w:szCs w:val="28"/>
        </w:rPr>
        <w:t>Final</w:t>
      </w:r>
      <w:r w:rsidRPr="0046180C">
        <w:rPr>
          <w:rFonts w:ascii="Times New Roman" w:eastAsia="Times New Roman" w:hAnsi="Times New Roman" w:cs="Times New Roman"/>
          <w:b/>
          <w:sz w:val="28"/>
          <w:szCs w:val="28"/>
        </w:rPr>
        <w:t xml:space="preserve"> Report</w:t>
      </w:r>
    </w:p>
    <w:p w14:paraId="1CB3D81B" w14:textId="77777777" w:rsidR="0067747D" w:rsidRDefault="00D8031C" w:rsidP="00D8031C">
      <w:pPr>
        <w:spacing w:after="0" w:line="240" w:lineRule="auto"/>
        <w:jc w:val="center"/>
        <w:rPr>
          <w:rFonts w:ascii="Times New Roman" w:eastAsia="Times New Roman" w:hAnsi="Times New Roman" w:cs="Times New Roman"/>
          <w:b/>
          <w:sz w:val="28"/>
          <w:szCs w:val="28"/>
        </w:rPr>
      </w:pPr>
      <w:r w:rsidRPr="0046180C">
        <w:rPr>
          <w:rFonts w:ascii="Times New Roman" w:eastAsia="Times New Roman" w:hAnsi="Times New Roman" w:cs="Times New Roman"/>
          <w:b/>
          <w:sz w:val="28"/>
          <w:szCs w:val="28"/>
        </w:rPr>
        <w:t xml:space="preserve">Relating to </w:t>
      </w:r>
      <w:r>
        <w:rPr>
          <w:rFonts w:ascii="Times New Roman" w:eastAsia="Times New Roman" w:hAnsi="Times New Roman" w:cs="Times New Roman"/>
          <w:b/>
          <w:sz w:val="28"/>
          <w:szCs w:val="28"/>
        </w:rPr>
        <w:t>Misconduct and the</w:t>
      </w:r>
    </w:p>
    <w:p w14:paraId="1AE8A460" w14:textId="3A661CCA" w:rsidR="00D8031C" w:rsidRPr="0046180C" w:rsidRDefault="00D8031C" w:rsidP="00D8031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Unemployment Compensation Act</w:t>
      </w:r>
    </w:p>
    <w:p w14:paraId="69F6AC12" w14:textId="77777777" w:rsidR="00D8031C" w:rsidRDefault="00D8031C" w:rsidP="00D8031C">
      <w:pPr>
        <w:spacing w:after="0" w:line="240" w:lineRule="auto"/>
        <w:jc w:val="center"/>
        <w:rPr>
          <w:rFonts w:ascii="Times New Roman" w:eastAsia="Times New Roman" w:hAnsi="Times New Roman" w:cs="Times New Roman"/>
          <w:b/>
          <w:sz w:val="28"/>
          <w:szCs w:val="28"/>
        </w:rPr>
      </w:pPr>
    </w:p>
    <w:p w14:paraId="37342D65" w14:textId="755FB442" w:rsidR="00D8031C" w:rsidRDefault="001E3FB0" w:rsidP="00D8031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June </w:t>
      </w:r>
      <w:r w:rsidR="00C760B7">
        <w:rPr>
          <w:rFonts w:ascii="Times New Roman" w:eastAsia="Times New Roman" w:hAnsi="Times New Roman" w:cs="Times New Roman"/>
          <w:b/>
          <w:sz w:val="28"/>
          <w:szCs w:val="28"/>
        </w:rPr>
        <w:t>10</w:t>
      </w:r>
      <w:r w:rsidR="00D8031C">
        <w:rPr>
          <w:rFonts w:ascii="Times New Roman" w:eastAsia="Times New Roman" w:hAnsi="Times New Roman" w:cs="Times New Roman"/>
          <w:b/>
          <w:sz w:val="28"/>
          <w:szCs w:val="28"/>
        </w:rPr>
        <w:t>, 2019</w:t>
      </w:r>
    </w:p>
    <w:p w14:paraId="67BE4305" w14:textId="77777777" w:rsidR="00D8031C" w:rsidRPr="0046180C" w:rsidRDefault="00D8031C" w:rsidP="00D8031C">
      <w:pPr>
        <w:spacing w:after="0" w:line="240" w:lineRule="auto"/>
        <w:jc w:val="center"/>
        <w:rPr>
          <w:rFonts w:ascii="Times New Roman" w:eastAsia="Times New Roman" w:hAnsi="Times New Roman" w:cs="Times New Roman"/>
          <w:b/>
          <w:sz w:val="28"/>
          <w:szCs w:val="28"/>
        </w:rPr>
      </w:pPr>
    </w:p>
    <w:p w14:paraId="6412075E" w14:textId="77777777" w:rsidR="00C760B7" w:rsidRPr="00C760B7" w:rsidRDefault="00C760B7" w:rsidP="00C760B7">
      <w:pPr>
        <w:spacing w:after="0" w:line="240" w:lineRule="auto"/>
        <w:jc w:val="center"/>
        <w:rPr>
          <w:rFonts w:ascii="Times New Roman" w:eastAsia="Times New Roman" w:hAnsi="Times New Roman" w:cs="Times New Roman"/>
          <w:sz w:val="24"/>
          <w:szCs w:val="20"/>
        </w:rPr>
      </w:pPr>
      <w:r w:rsidRPr="00C760B7">
        <w:rPr>
          <w:rFonts w:ascii="Times New Roman" w:eastAsia="Times New Roman" w:hAnsi="Times New Roman" w:cs="Times New Roman"/>
          <w:sz w:val="24"/>
          <w:szCs w:val="20"/>
        </w:rPr>
        <w:t>The work of the New Jersey Law Revision Commission is only a recommendation until enacted.</w:t>
      </w:r>
    </w:p>
    <w:p w14:paraId="22B19909" w14:textId="77777777" w:rsidR="00C760B7" w:rsidRPr="00C760B7" w:rsidRDefault="00C760B7" w:rsidP="00C760B7">
      <w:pPr>
        <w:spacing w:after="0" w:line="240" w:lineRule="auto"/>
        <w:jc w:val="center"/>
        <w:rPr>
          <w:rFonts w:ascii="Times New Roman" w:eastAsia="Times New Roman" w:hAnsi="Times New Roman" w:cs="Times New Roman"/>
          <w:sz w:val="24"/>
          <w:szCs w:val="20"/>
        </w:rPr>
      </w:pPr>
    </w:p>
    <w:p w14:paraId="1248B9BA" w14:textId="77777777" w:rsidR="00C760B7" w:rsidRPr="00C760B7" w:rsidRDefault="00C760B7" w:rsidP="00C760B7">
      <w:pPr>
        <w:spacing w:after="0" w:line="240" w:lineRule="auto"/>
        <w:jc w:val="center"/>
        <w:rPr>
          <w:rFonts w:ascii="Times New Roman" w:eastAsia="Times New Roman" w:hAnsi="Times New Roman" w:cs="Times New Roman"/>
          <w:sz w:val="24"/>
          <w:szCs w:val="20"/>
        </w:rPr>
      </w:pPr>
      <w:r w:rsidRPr="00C760B7">
        <w:rPr>
          <w:rFonts w:ascii="Times New Roman" w:eastAsia="Times New Roman" w:hAnsi="Times New Roman" w:cs="Times New Roman"/>
          <w:sz w:val="24"/>
          <w:szCs w:val="20"/>
        </w:rPr>
        <w:t>Please consult the New Jersey statutes in order to determine the law of the State.</w:t>
      </w:r>
    </w:p>
    <w:p w14:paraId="0B09C4AE" w14:textId="77777777" w:rsidR="00C760B7" w:rsidRPr="00C760B7" w:rsidRDefault="00C760B7" w:rsidP="00C760B7">
      <w:pPr>
        <w:spacing w:after="0" w:line="240" w:lineRule="auto"/>
        <w:ind w:firstLine="720"/>
        <w:jc w:val="center"/>
        <w:rPr>
          <w:rFonts w:ascii="Times New Roman" w:eastAsia="Times New Roman" w:hAnsi="Times New Roman" w:cs="Times New Roman"/>
          <w:sz w:val="24"/>
          <w:szCs w:val="20"/>
        </w:rPr>
      </w:pPr>
    </w:p>
    <w:p w14:paraId="10CAEBDB" w14:textId="77777777" w:rsidR="00C760B7" w:rsidRPr="00C760B7" w:rsidRDefault="00C760B7" w:rsidP="00C760B7">
      <w:pPr>
        <w:spacing w:after="0" w:line="240" w:lineRule="auto"/>
        <w:jc w:val="center"/>
        <w:rPr>
          <w:rFonts w:ascii="Times New Roman" w:eastAsia="Times New Roman" w:hAnsi="Times New Roman" w:cs="Times New Roman"/>
          <w:sz w:val="24"/>
          <w:szCs w:val="20"/>
        </w:rPr>
      </w:pPr>
      <w:r w:rsidRPr="00C760B7">
        <w:rPr>
          <w:rFonts w:ascii="Times New Roman" w:eastAsia="Times New Roman" w:hAnsi="Times New Roman" w:cs="Times New Roman"/>
          <w:sz w:val="24"/>
          <w:szCs w:val="20"/>
        </w:rPr>
        <w:t>Please send comments concerning this Report or direct any related inquiries, to:</w:t>
      </w:r>
    </w:p>
    <w:p w14:paraId="018A7C61" w14:textId="77777777" w:rsidR="00D8031C" w:rsidRDefault="00D8031C" w:rsidP="00D8031C">
      <w:pPr>
        <w:spacing w:after="0" w:line="240" w:lineRule="auto"/>
        <w:jc w:val="center"/>
        <w:rPr>
          <w:sz w:val="24"/>
          <w:szCs w:val="24"/>
        </w:rPr>
      </w:pPr>
    </w:p>
    <w:p w14:paraId="53C6DD37" w14:textId="77777777" w:rsidR="00C760B7" w:rsidRPr="008B6360" w:rsidRDefault="00C760B7" w:rsidP="00D8031C">
      <w:pPr>
        <w:spacing w:after="0" w:line="240" w:lineRule="auto"/>
        <w:jc w:val="center"/>
        <w:rPr>
          <w:sz w:val="24"/>
          <w:szCs w:val="24"/>
        </w:rPr>
      </w:pPr>
    </w:p>
    <w:p w14:paraId="38D251B5" w14:textId="77777777" w:rsidR="00D8031C" w:rsidRPr="008B6360" w:rsidRDefault="00D8031C" w:rsidP="00D8031C">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Jennifer Weitz, Counsel</w:t>
      </w:r>
    </w:p>
    <w:p w14:paraId="779556A2" w14:textId="77777777" w:rsidR="00D8031C" w:rsidRPr="008B6360" w:rsidRDefault="00D8031C" w:rsidP="00D8031C">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New Jersey Law Revision Commission</w:t>
      </w:r>
    </w:p>
    <w:p w14:paraId="37296DE7" w14:textId="77777777" w:rsidR="00D8031C" w:rsidRPr="008B6360" w:rsidRDefault="00D8031C" w:rsidP="00D8031C">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153 Halsey Street, 7th fl.</w:t>
      </w:r>
    </w:p>
    <w:p w14:paraId="4B6A03DE" w14:textId="77777777" w:rsidR="00D8031C" w:rsidRPr="008B6360" w:rsidRDefault="00D8031C" w:rsidP="00D8031C">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Newark, New Jersey 07102</w:t>
      </w:r>
    </w:p>
    <w:p w14:paraId="3D234A65" w14:textId="77777777" w:rsidR="00D8031C" w:rsidRPr="008B6360" w:rsidRDefault="00D8031C" w:rsidP="00D8031C">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973-648-4575</w:t>
      </w:r>
    </w:p>
    <w:p w14:paraId="0DE9CA01" w14:textId="77777777" w:rsidR="00D8031C" w:rsidRPr="008B6360" w:rsidRDefault="00D8031C" w:rsidP="00D8031C">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(Fax) 973-648-3123</w:t>
      </w:r>
    </w:p>
    <w:p w14:paraId="5CF73C83" w14:textId="77777777" w:rsidR="00D8031C" w:rsidRPr="008B6360" w:rsidRDefault="00D8031C" w:rsidP="00D8031C">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Email: jdw@njlrc.org</w:t>
      </w:r>
    </w:p>
    <w:p w14:paraId="13D9579E" w14:textId="77777777" w:rsidR="00D8031C" w:rsidRPr="008B6360" w:rsidRDefault="00D8031C" w:rsidP="00D8031C">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Web site:  http://www.njlrc.org</w:t>
      </w:r>
    </w:p>
    <w:bookmarkEnd w:id="0"/>
    <w:p w14:paraId="1402FCB4" w14:textId="24DD4AF7" w:rsidR="00D8031C" w:rsidRDefault="00D8031C">
      <w:pPr>
        <w:rPr>
          <w:rFonts w:ascii="Times New Roman" w:hAnsi="Times New Roman" w:cs="Times New Roman"/>
          <w:b/>
          <w:sz w:val="24"/>
          <w:szCs w:val="24"/>
        </w:rPr>
      </w:pPr>
      <w:r>
        <w:rPr>
          <w:rFonts w:ascii="Times New Roman" w:hAnsi="Times New Roman" w:cs="Times New Roman"/>
          <w:b/>
          <w:sz w:val="24"/>
          <w:szCs w:val="24"/>
        </w:rPr>
        <w:br w:type="page"/>
      </w:r>
    </w:p>
    <w:p w14:paraId="58919CBA" w14:textId="77777777" w:rsidR="00D8031C" w:rsidRDefault="00D8031C" w:rsidP="00D8031C">
      <w:pPr>
        <w:spacing w:after="0" w:line="276" w:lineRule="auto"/>
        <w:jc w:val="center"/>
        <w:rPr>
          <w:rFonts w:ascii="Times New Roman" w:hAnsi="Times New Roman" w:cs="Times New Roman"/>
          <w:b/>
          <w:sz w:val="24"/>
          <w:szCs w:val="24"/>
        </w:rPr>
      </w:pPr>
    </w:p>
    <w:p w14:paraId="51A530A0" w14:textId="77777777" w:rsidR="00D8031C" w:rsidRPr="00D65C65" w:rsidRDefault="00D8031C" w:rsidP="00D8031C">
      <w:pPr>
        <w:spacing w:after="0" w:line="276" w:lineRule="auto"/>
        <w:jc w:val="center"/>
        <w:rPr>
          <w:rFonts w:ascii="Times New Roman" w:hAnsi="Times New Roman" w:cs="Times New Roman"/>
          <w:sz w:val="24"/>
          <w:szCs w:val="24"/>
        </w:rPr>
      </w:pPr>
      <w:r>
        <w:rPr>
          <w:rFonts w:ascii="Times New Roman" w:hAnsi="Times New Roman" w:cs="Times New Roman"/>
          <w:b/>
          <w:sz w:val="24"/>
          <w:szCs w:val="24"/>
        </w:rPr>
        <w:t>Introduction</w:t>
      </w:r>
    </w:p>
    <w:p w14:paraId="2CA7A90E" w14:textId="5A591AA5" w:rsidR="0067747D" w:rsidRPr="0067747D" w:rsidRDefault="00262993">
      <w:pPr>
        <w:rPr>
          <w:rFonts w:ascii="Times New Roman" w:hAnsi="Times New Roman" w:cs="Times New Roman"/>
          <w:sz w:val="24"/>
          <w:szCs w:val="24"/>
        </w:rPr>
      </w:pPr>
      <w:r>
        <w:rPr>
          <w:rFonts w:ascii="Times New Roman" w:hAnsi="Times New Roman" w:cs="Times New Roman"/>
          <w:sz w:val="24"/>
          <w:szCs w:val="24"/>
        </w:rPr>
        <w:t xml:space="preserve"> </w:t>
      </w:r>
    </w:p>
    <w:p w14:paraId="3E5F5237" w14:textId="49B327B6" w:rsidR="00BE0441" w:rsidRDefault="0067747D" w:rsidP="00C760B7">
      <w:pPr>
        <w:spacing w:after="0"/>
        <w:ind w:firstLine="720"/>
        <w:jc w:val="both"/>
        <w:rPr>
          <w:rFonts w:ascii="Times New Roman" w:hAnsi="Times New Roman" w:cs="Times New Roman"/>
          <w:sz w:val="24"/>
          <w:szCs w:val="24"/>
        </w:rPr>
      </w:pPr>
      <w:r w:rsidRPr="0067747D">
        <w:rPr>
          <w:rFonts w:ascii="Times New Roman" w:hAnsi="Times New Roman" w:cs="Times New Roman"/>
          <w:sz w:val="24"/>
          <w:szCs w:val="24"/>
        </w:rPr>
        <w:t>In July 2018</w:t>
      </w:r>
      <w:r w:rsidR="0004534C">
        <w:rPr>
          <w:rFonts w:ascii="Times New Roman" w:hAnsi="Times New Roman" w:cs="Times New Roman"/>
          <w:sz w:val="24"/>
          <w:szCs w:val="24"/>
        </w:rPr>
        <w:t xml:space="preserve"> the Law Revision Commission authorized </w:t>
      </w:r>
      <w:r w:rsidR="00EE0CAE">
        <w:rPr>
          <w:rFonts w:ascii="Times New Roman" w:hAnsi="Times New Roman" w:cs="Times New Roman"/>
          <w:sz w:val="24"/>
          <w:szCs w:val="24"/>
        </w:rPr>
        <w:t>a project</w:t>
      </w:r>
      <w:r w:rsidR="0004534C">
        <w:rPr>
          <w:rFonts w:ascii="Times New Roman" w:hAnsi="Times New Roman" w:cs="Times New Roman"/>
          <w:sz w:val="24"/>
          <w:szCs w:val="24"/>
        </w:rPr>
        <w:t xml:space="preserve"> </w:t>
      </w:r>
      <w:r w:rsidR="00EE0CAE">
        <w:rPr>
          <w:rFonts w:ascii="Times New Roman" w:hAnsi="Times New Roman" w:cs="Times New Roman"/>
          <w:sz w:val="24"/>
          <w:szCs w:val="24"/>
        </w:rPr>
        <w:t>on</w:t>
      </w:r>
      <w:r w:rsidR="0004534C">
        <w:rPr>
          <w:rFonts w:ascii="Times New Roman" w:hAnsi="Times New Roman" w:cs="Times New Roman"/>
          <w:sz w:val="24"/>
          <w:szCs w:val="24"/>
        </w:rPr>
        <w:t xml:space="preserve"> employee misconduct and unemployment benefits as a result of the ruling in </w:t>
      </w:r>
      <w:r w:rsidR="0004534C">
        <w:rPr>
          <w:rFonts w:ascii="Times New Roman" w:hAnsi="Times New Roman" w:cs="Times New Roman"/>
          <w:i/>
          <w:sz w:val="24"/>
          <w:szCs w:val="24"/>
        </w:rPr>
        <w:t>In re N.J.A.C. 12:17-2.1</w:t>
      </w:r>
      <w:r w:rsidR="0004534C">
        <w:rPr>
          <w:rFonts w:ascii="Times New Roman" w:hAnsi="Times New Roman" w:cs="Times New Roman"/>
          <w:sz w:val="24"/>
          <w:szCs w:val="24"/>
        </w:rPr>
        <w:t>, 450 N.J. Super. 152 (</w:t>
      </w:r>
      <w:r w:rsidR="001E3FB0">
        <w:rPr>
          <w:rFonts w:ascii="Times New Roman" w:hAnsi="Times New Roman" w:cs="Times New Roman"/>
          <w:sz w:val="24"/>
          <w:szCs w:val="24"/>
        </w:rPr>
        <w:t xml:space="preserve">App. Div. </w:t>
      </w:r>
      <w:r w:rsidR="0004534C">
        <w:rPr>
          <w:rFonts w:ascii="Times New Roman" w:hAnsi="Times New Roman" w:cs="Times New Roman"/>
          <w:sz w:val="24"/>
          <w:szCs w:val="24"/>
        </w:rPr>
        <w:t>2017).</w:t>
      </w:r>
      <w:r w:rsidR="00262993">
        <w:rPr>
          <w:rFonts w:ascii="Times New Roman" w:hAnsi="Times New Roman" w:cs="Times New Roman"/>
          <w:sz w:val="24"/>
          <w:szCs w:val="24"/>
        </w:rPr>
        <w:t xml:space="preserve"> The Appellate Division invalidated the regulation</w:t>
      </w:r>
      <w:r w:rsidR="00EE0CAE">
        <w:rPr>
          <w:rFonts w:ascii="Times New Roman" w:hAnsi="Times New Roman" w:cs="Times New Roman"/>
          <w:sz w:val="24"/>
          <w:szCs w:val="24"/>
        </w:rPr>
        <w:t>, adopted in 2015 by the Department of Labor and Workforce Development,</w:t>
      </w:r>
      <w:r w:rsidR="00262993">
        <w:rPr>
          <w:rFonts w:ascii="Times New Roman" w:hAnsi="Times New Roman" w:cs="Times New Roman"/>
          <w:sz w:val="24"/>
          <w:szCs w:val="24"/>
        </w:rPr>
        <w:t xml:space="preserve"> for being arbitrary and capricious</w:t>
      </w:r>
      <w:r w:rsidR="00BE0441">
        <w:rPr>
          <w:rFonts w:ascii="Times New Roman" w:hAnsi="Times New Roman" w:cs="Times New Roman"/>
          <w:sz w:val="24"/>
          <w:szCs w:val="24"/>
        </w:rPr>
        <w:t xml:space="preserve">, as </w:t>
      </w:r>
      <w:r w:rsidR="00EE0CAE">
        <w:rPr>
          <w:rFonts w:ascii="Times New Roman" w:hAnsi="Times New Roman" w:cs="Times New Roman"/>
          <w:sz w:val="24"/>
          <w:szCs w:val="24"/>
        </w:rPr>
        <w:t>its</w:t>
      </w:r>
      <w:r w:rsidR="00BE0441">
        <w:rPr>
          <w:rFonts w:ascii="Times New Roman" w:hAnsi="Times New Roman" w:cs="Times New Roman"/>
          <w:sz w:val="24"/>
          <w:szCs w:val="24"/>
        </w:rPr>
        <w:t xml:space="preserve"> definition of “simple misconduct” included behavior that was more severe than “severe misconduct,” and because the regulation mixed concepts of negligence with those of intent</w:t>
      </w:r>
      <w:r w:rsidR="00262993">
        <w:rPr>
          <w:rFonts w:ascii="Times New Roman" w:hAnsi="Times New Roman" w:cs="Times New Roman"/>
          <w:sz w:val="24"/>
          <w:szCs w:val="24"/>
        </w:rPr>
        <w:t>.</w:t>
      </w:r>
    </w:p>
    <w:p w14:paraId="3C766281" w14:textId="24ADB915" w:rsidR="00AB0AC8" w:rsidRDefault="00AB0AC8" w:rsidP="00AB0AC8">
      <w:pPr>
        <w:ind w:firstLine="720"/>
        <w:rPr>
          <w:rFonts w:ascii="Times New Roman" w:hAnsi="Times New Roman" w:cs="Times New Roman"/>
          <w:sz w:val="24"/>
          <w:szCs w:val="24"/>
        </w:rPr>
      </w:pPr>
    </w:p>
    <w:p w14:paraId="37A21E11" w14:textId="16D9642A" w:rsidR="00AB0AC8" w:rsidRDefault="00AB0AC8" w:rsidP="00C87B88">
      <w:pPr>
        <w:jc w:val="center"/>
        <w:rPr>
          <w:rFonts w:ascii="Times New Roman" w:hAnsi="Times New Roman" w:cs="Times New Roman"/>
          <w:sz w:val="24"/>
          <w:szCs w:val="24"/>
        </w:rPr>
      </w:pPr>
      <w:r>
        <w:rPr>
          <w:rFonts w:ascii="Times New Roman" w:hAnsi="Times New Roman" w:cs="Times New Roman"/>
          <w:b/>
          <w:sz w:val="24"/>
          <w:szCs w:val="24"/>
        </w:rPr>
        <w:t>Background</w:t>
      </w:r>
    </w:p>
    <w:p w14:paraId="2CE44F70" w14:textId="635730D6" w:rsidR="00AB0AC8" w:rsidRDefault="001B55DF" w:rsidP="00C760B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New Jersey’s Unemployment Compensation Law, N.J.S. 43:21-1 </w:t>
      </w:r>
      <w:r w:rsidRPr="007876AA">
        <w:rPr>
          <w:rFonts w:ascii="Times New Roman" w:hAnsi="Times New Roman" w:cs="Times New Roman"/>
          <w:i/>
          <w:iCs/>
          <w:sz w:val="24"/>
          <w:szCs w:val="24"/>
        </w:rPr>
        <w:t>et. seq.</w:t>
      </w:r>
      <w:r>
        <w:rPr>
          <w:rFonts w:ascii="Times New Roman" w:hAnsi="Times New Roman" w:cs="Times New Roman"/>
          <w:sz w:val="24"/>
          <w:szCs w:val="24"/>
        </w:rPr>
        <w:t xml:space="preserve">, </w:t>
      </w:r>
      <w:r w:rsidR="0061017A">
        <w:rPr>
          <w:rFonts w:ascii="Times New Roman" w:hAnsi="Times New Roman" w:cs="Times New Roman"/>
          <w:sz w:val="24"/>
          <w:szCs w:val="24"/>
        </w:rPr>
        <w:t>enacted in 1936, seeks to counter the “menace” of “economic insecurity due to unemployment.”</w:t>
      </w:r>
      <w:r w:rsidR="0061017A">
        <w:rPr>
          <w:rStyle w:val="FootnoteReference"/>
          <w:rFonts w:ascii="Times New Roman" w:hAnsi="Times New Roman" w:cs="Times New Roman"/>
          <w:sz w:val="24"/>
          <w:szCs w:val="24"/>
        </w:rPr>
        <w:footnoteReference w:id="1"/>
      </w:r>
      <w:r w:rsidR="0061017A">
        <w:rPr>
          <w:rFonts w:ascii="Times New Roman" w:hAnsi="Times New Roman" w:cs="Times New Roman"/>
          <w:sz w:val="24"/>
          <w:szCs w:val="24"/>
        </w:rPr>
        <w:t xml:space="preserve"> Among the </w:t>
      </w:r>
      <w:r w:rsidR="0062444B">
        <w:rPr>
          <w:rFonts w:ascii="Times New Roman" w:hAnsi="Times New Roman" w:cs="Times New Roman"/>
          <w:sz w:val="24"/>
          <w:szCs w:val="24"/>
        </w:rPr>
        <w:t>disqualifying events listed in N.J.S. 43:21-5, Disqualification for benefits, is “misconduct.”</w:t>
      </w:r>
      <w:r w:rsidR="0062444B">
        <w:rPr>
          <w:rStyle w:val="FootnoteReference"/>
          <w:rFonts w:ascii="Times New Roman" w:hAnsi="Times New Roman" w:cs="Times New Roman"/>
          <w:sz w:val="24"/>
          <w:szCs w:val="24"/>
        </w:rPr>
        <w:footnoteReference w:id="2"/>
      </w:r>
      <w:r w:rsidR="0062444B">
        <w:rPr>
          <w:rFonts w:ascii="Times New Roman" w:hAnsi="Times New Roman" w:cs="Times New Roman"/>
          <w:sz w:val="24"/>
          <w:szCs w:val="24"/>
        </w:rPr>
        <w:t xml:space="preserve"> The statute subdivides this category into “misconduct” and “gross misconduct.”</w:t>
      </w:r>
      <w:r w:rsidR="00701200">
        <w:rPr>
          <w:rStyle w:val="FootnoteReference"/>
          <w:rFonts w:ascii="Times New Roman" w:hAnsi="Times New Roman" w:cs="Times New Roman"/>
          <w:sz w:val="24"/>
          <w:szCs w:val="24"/>
        </w:rPr>
        <w:footnoteReference w:id="3"/>
      </w:r>
      <w:r w:rsidR="0062444B">
        <w:rPr>
          <w:rFonts w:ascii="Times New Roman" w:hAnsi="Times New Roman" w:cs="Times New Roman"/>
          <w:sz w:val="24"/>
          <w:szCs w:val="24"/>
        </w:rPr>
        <w:t xml:space="preserve"> However, only gross misconduct is defined, as “an act punishable as a crime of the first, second, third or fourth degree.”</w:t>
      </w:r>
      <w:r w:rsidR="0062444B">
        <w:rPr>
          <w:rStyle w:val="FootnoteReference"/>
          <w:rFonts w:ascii="Times New Roman" w:hAnsi="Times New Roman" w:cs="Times New Roman"/>
          <w:sz w:val="24"/>
          <w:szCs w:val="24"/>
        </w:rPr>
        <w:footnoteReference w:id="4"/>
      </w:r>
    </w:p>
    <w:p w14:paraId="1C195F6A" w14:textId="77777777" w:rsidR="00C760B7" w:rsidRDefault="00C760B7" w:rsidP="00C760B7">
      <w:pPr>
        <w:spacing w:after="0"/>
        <w:ind w:firstLine="720"/>
        <w:jc w:val="both"/>
        <w:rPr>
          <w:rFonts w:ascii="Times New Roman" w:hAnsi="Times New Roman" w:cs="Times New Roman"/>
          <w:sz w:val="24"/>
          <w:szCs w:val="24"/>
        </w:rPr>
      </w:pPr>
    </w:p>
    <w:p w14:paraId="2ADF22B3" w14:textId="01FC8640" w:rsidR="006F0996" w:rsidRDefault="006F0996" w:rsidP="00C760B7">
      <w:pPr>
        <w:spacing w:after="0"/>
        <w:ind w:firstLine="720"/>
        <w:jc w:val="both"/>
        <w:rPr>
          <w:rFonts w:ascii="Times New Roman" w:hAnsi="Times New Roman" w:cs="Times New Roman"/>
          <w:sz w:val="24"/>
          <w:szCs w:val="24"/>
        </w:rPr>
      </w:pPr>
      <w:r>
        <w:rPr>
          <w:rFonts w:ascii="Times New Roman" w:hAnsi="Times New Roman" w:cs="Times New Roman"/>
          <w:sz w:val="24"/>
          <w:szCs w:val="24"/>
        </w:rPr>
        <w:t>Courts have attempted to provide a definition for simple misconduct.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Through various holdings, misconduct has been construed as “deliberate and willful disregard of standards of conduct an employer has a right to expect.”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In </w:t>
      </w:r>
      <w:r>
        <w:rPr>
          <w:rFonts w:ascii="Times New Roman" w:hAnsi="Times New Roman" w:cs="Times New Roman"/>
          <w:i/>
          <w:sz w:val="24"/>
          <w:szCs w:val="24"/>
        </w:rPr>
        <w:t>Silver v. Board of Review</w:t>
      </w:r>
      <w:r>
        <w:rPr>
          <w:rFonts w:ascii="Times New Roman" w:hAnsi="Times New Roman" w:cs="Times New Roman"/>
          <w:sz w:val="24"/>
          <w:szCs w:val="24"/>
        </w:rPr>
        <w:t xml:space="preserve">, the Appellate Division </w:t>
      </w:r>
      <w:r w:rsidR="00D9095A">
        <w:rPr>
          <w:rFonts w:ascii="Times New Roman" w:hAnsi="Times New Roman" w:cs="Times New Roman"/>
          <w:sz w:val="24"/>
          <w:szCs w:val="24"/>
        </w:rPr>
        <w:t xml:space="preserve">traced the history of the Unemployment Compensation Law and </w:t>
      </w:r>
      <w:r>
        <w:rPr>
          <w:rFonts w:ascii="Times New Roman" w:hAnsi="Times New Roman" w:cs="Times New Roman"/>
          <w:sz w:val="24"/>
          <w:szCs w:val="24"/>
        </w:rPr>
        <w:t>emphasized “[t]he critical distinction between intentional and deliberate conduct on the one hand and negligent or inadvertent conduct on the other[.]</w:t>
      </w:r>
      <w:r w:rsidR="00A612F3">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Additional cases have reiterated that misconduct must involve “deliberate or intentional violations of the employer’s rules.”</w:t>
      </w:r>
      <w:r>
        <w:rPr>
          <w:rStyle w:val="FootnoteReference"/>
          <w:rFonts w:ascii="Times New Roman" w:hAnsi="Times New Roman" w:cs="Times New Roman"/>
          <w:sz w:val="24"/>
          <w:szCs w:val="24"/>
        </w:rPr>
        <w:footnoteReference w:id="8"/>
      </w:r>
    </w:p>
    <w:p w14:paraId="146E1ED5" w14:textId="77777777" w:rsidR="00C760B7" w:rsidRDefault="00C760B7" w:rsidP="00C760B7">
      <w:pPr>
        <w:spacing w:after="0"/>
        <w:ind w:firstLine="720"/>
        <w:jc w:val="both"/>
        <w:rPr>
          <w:rFonts w:ascii="Times New Roman" w:hAnsi="Times New Roman" w:cs="Times New Roman"/>
          <w:sz w:val="24"/>
          <w:szCs w:val="24"/>
        </w:rPr>
      </w:pPr>
    </w:p>
    <w:p w14:paraId="4C6A3BD6" w14:textId="77777777" w:rsidR="000736C9" w:rsidRDefault="000736C9" w:rsidP="00C760B7">
      <w:pPr>
        <w:spacing w:after="0"/>
        <w:ind w:firstLine="720"/>
        <w:jc w:val="both"/>
        <w:rPr>
          <w:rFonts w:ascii="Times New Roman" w:hAnsi="Times New Roman" w:cs="Times New Roman"/>
          <w:sz w:val="24"/>
          <w:szCs w:val="24"/>
        </w:rPr>
      </w:pPr>
      <w:r>
        <w:rPr>
          <w:rFonts w:ascii="Times New Roman" w:hAnsi="Times New Roman" w:cs="Times New Roman"/>
          <w:sz w:val="24"/>
          <w:szCs w:val="24"/>
        </w:rPr>
        <w:t>In 2003 the New Jersey Department of Labor and Workforce Development attempted to clarify “misconduct,” as follows:</w:t>
      </w:r>
    </w:p>
    <w:p w14:paraId="5FA18321" w14:textId="77777777" w:rsidR="00C760B7" w:rsidRDefault="00C760B7" w:rsidP="00C760B7">
      <w:pPr>
        <w:spacing w:after="0"/>
        <w:ind w:firstLine="720"/>
        <w:jc w:val="both"/>
        <w:rPr>
          <w:rFonts w:ascii="Times New Roman" w:hAnsi="Times New Roman" w:cs="Times New Roman"/>
          <w:sz w:val="24"/>
          <w:szCs w:val="24"/>
        </w:rPr>
      </w:pPr>
    </w:p>
    <w:p w14:paraId="228665F9" w14:textId="77777777" w:rsidR="000736C9" w:rsidRPr="00AB0AC8" w:rsidRDefault="000736C9" w:rsidP="00C760B7">
      <w:pPr>
        <w:spacing w:after="0"/>
        <w:ind w:left="720" w:right="720"/>
        <w:jc w:val="both"/>
        <w:rPr>
          <w:rFonts w:ascii="Times New Roman" w:hAnsi="Times New Roman" w:cs="Times New Roman"/>
          <w:sz w:val="24"/>
          <w:szCs w:val="24"/>
        </w:rPr>
      </w:pPr>
      <w:r>
        <w:rPr>
          <w:rFonts w:ascii="Times New Roman" w:hAnsi="Times New Roman" w:cs="Times New Roman"/>
          <w:sz w:val="24"/>
          <w:szCs w:val="24"/>
        </w:rPr>
        <w:t>For an act to constitute misconduct, it must be improper, intentional, connected with one’s work, malicious, and within the individual’s control, and is either a deliberate violation of the employer’s rules or a disregard of standards of behavior which the employer has the right to expect of an employee.</w:t>
      </w:r>
      <w:r>
        <w:rPr>
          <w:rStyle w:val="FootnoteReference"/>
          <w:rFonts w:ascii="Times New Roman" w:hAnsi="Times New Roman" w:cs="Times New Roman"/>
          <w:sz w:val="24"/>
          <w:szCs w:val="24"/>
        </w:rPr>
        <w:footnoteReference w:id="9"/>
      </w:r>
    </w:p>
    <w:p w14:paraId="03D98FB1" w14:textId="77777777" w:rsidR="000736C9" w:rsidRPr="00800C8C" w:rsidRDefault="000736C9" w:rsidP="00C760B7">
      <w:pPr>
        <w:spacing w:after="0"/>
        <w:ind w:firstLine="720"/>
        <w:jc w:val="both"/>
        <w:rPr>
          <w:rFonts w:ascii="Times New Roman" w:hAnsi="Times New Roman" w:cs="Times New Roman"/>
          <w:sz w:val="24"/>
          <w:szCs w:val="24"/>
        </w:rPr>
      </w:pPr>
    </w:p>
    <w:p w14:paraId="13B00755" w14:textId="668E2A7E" w:rsidR="000736C9" w:rsidRDefault="000736C9" w:rsidP="00C760B7">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Pr>
          <w:rFonts w:ascii="Times New Roman" w:hAnsi="Times New Roman" w:cs="Times New Roman"/>
          <w:i/>
          <w:sz w:val="24"/>
          <w:szCs w:val="24"/>
        </w:rPr>
        <w:t>Silver</w:t>
      </w:r>
      <w:r>
        <w:rPr>
          <w:rFonts w:ascii="Times New Roman" w:hAnsi="Times New Roman" w:cs="Times New Roman"/>
          <w:sz w:val="24"/>
          <w:szCs w:val="24"/>
        </w:rPr>
        <w:t xml:space="preserve"> Court noted that the rule contained a two-prong standard for establishing misconduct: one, the conduct must be improper, intentional, connected with work, malicious, and within the employee’s control, and two, the conduct must </w:t>
      </w:r>
      <w:r>
        <w:rPr>
          <w:rFonts w:ascii="Times New Roman" w:hAnsi="Times New Roman" w:cs="Times New Roman"/>
          <w:sz w:val="24"/>
          <w:szCs w:val="24"/>
          <w:u w:val="single"/>
        </w:rPr>
        <w:t>also</w:t>
      </w:r>
      <w:r>
        <w:rPr>
          <w:rFonts w:ascii="Times New Roman" w:hAnsi="Times New Roman" w:cs="Times New Roman"/>
          <w:sz w:val="24"/>
          <w:szCs w:val="24"/>
        </w:rPr>
        <w:t xml:space="preserve"> be either a deliberate violation of the employer’s rules or a disregard of the standards of behavior which the employee has the right to expect.</w:t>
      </w:r>
      <w:r w:rsidR="008B1398">
        <w:rPr>
          <w:rFonts w:ascii="Times New Roman" w:hAnsi="Times New Roman" w:cs="Times New Roman"/>
          <w:sz w:val="24"/>
          <w:szCs w:val="24"/>
        </w:rPr>
        <w:t xml:space="preserve"> [emphasis in the original]</w:t>
      </w:r>
      <w:r>
        <w:rPr>
          <w:rStyle w:val="FootnoteReference"/>
          <w:rFonts w:ascii="Times New Roman" w:hAnsi="Times New Roman" w:cs="Times New Roman"/>
          <w:sz w:val="24"/>
          <w:szCs w:val="24"/>
        </w:rPr>
        <w:footnoteReference w:id="10"/>
      </w:r>
    </w:p>
    <w:p w14:paraId="52307A34" w14:textId="77777777" w:rsidR="00C760B7" w:rsidRPr="000736C9" w:rsidRDefault="00C760B7" w:rsidP="00C760B7">
      <w:pPr>
        <w:spacing w:after="0"/>
        <w:ind w:firstLine="720"/>
        <w:jc w:val="both"/>
        <w:rPr>
          <w:rFonts w:ascii="Times New Roman" w:hAnsi="Times New Roman" w:cs="Times New Roman"/>
          <w:sz w:val="24"/>
          <w:szCs w:val="24"/>
        </w:rPr>
      </w:pPr>
    </w:p>
    <w:p w14:paraId="17FD2A34" w14:textId="74306CA1" w:rsidR="000D4EC5" w:rsidRDefault="000D4EC5" w:rsidP="00C760B7">
      <w:pPr>
        <w:spacing w:after="0"/>
        <w:ind w:firstLine="720"/>
        <w:jc w:val="both"/>
        <w:rPr>
          <w:rFonts w:ascii="Times New Roman" w:hAnsi="Times New Roman" w:cs="Times New Roman"/>
          <w:sz w:val="24"/>
          <w:szCs w:val="24"/>
        </w:rPr>
      </w:pPr>
      <w:r>
        <w:rPr>
          <w:rFonts w:ascii="Times New Roman" w:hAnsi="Times New Roman" w:cs="Times New Roman"/>
          <w:sz w:val="24"/>
          <w:szCs w:val="24"/>
        </w:rPr>
        <w:t>In 2010 the Legislature</w:t>
      </w:r>
      <w:r w:rsidR="00831AC3">
        <w:rPr>
          <w:rFonts w:ascii="Times New Roman" w:hAnsi="Times New Roman" w:cs="Times New Roman"/>
          <w:sz w:val="24"/>
          <w:szCs w:val="24"/>
        </w:rPr>
        <w:t xml:space="preserve"> </w:t>
      </w:r>
      <w:r w:rsidR="00E6098A">
        <w:rPr>
          <w:rFonts w:ascii="Times New Roman" w:hAnsi="Times New Roman" w:cs="Times New Roman"/>
          <w:sz w:val="24"/>
          <w:szCs w:val="24"/>
        </w:rPr>
        <w:t>addressed the inadequacies in</w:t>
      </w:r>
      <w:r w:rsidR="00831AC3">
        <w:rPr>
          <w:rFonts w:ascii="Times New Roman" w:hAnsi="Times New Roman" w:cs="Times New Roman"/>
          <w:sz w:val="24"/>
          <w:szCs w:val="24"/>
        </w:rPr>
        <w:t xml:space="preserve"> the </w:t>
      </w:r>
      <w:r w:rsidR="00E6098A">
        <w:rPr>
          <w:rFonts w:ascii="Times New Roman" w:hAnsi="Times New Roman" w:cs="Times New Roman"/>
          <w:sz w:val="24"/>
          <w:szCs w:val="24"/>
        </w:rPr>
        <w:t xml:space="preserve">state’s </w:t>
      </w:r>
      <w:r w:rsidR="00831AC3">
        <w:rPr>
          <w:rFonts w:ascii="Times New Roman" w:hAnsi="Times New Roman" w:cs="Times New Roman"/>
          <w:sz w:val="24"/>
          <w:szCs w:val="24"/>
        </w:rPr>
        <w:t>unemployment insurance trust fund.</w:t>
      </w:r>
      <w:r w:rsidR="00831AC3">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001B09C6">
        <w:rPr>
          <w:rFonts w:ascii="Times New Roman" w:hAnsi="Times New Roman" w:cs="Times New Roman"/>
          <w:sz w:val="24"/>
          <w:szCs w:val="24"/>
        </w:rPr>
        <w:t>The statement accompanying the Governor’s Conditional Veto noted that, in order to reform New Jersey’s unemployment compensation system, and to synchronize our efforts with those of other states, it was recommended to create a tier of “severe misconduct.”</w:t>
      </w:r>
      <w:r w:rsidR="001B09C6">
        <w:rPr>
          <w:rStyle w:val="FootnoteReference"/>
          <w:rFonts w:ascii="Times New Roman" w:hAnsi="Times New Roman" w:cs="Times New Roman"/>
          <w:sz w:val="24"/>
          <w:szCs w:val="24"/>
        </w:rPr>
        <w:footnoteReference w:id="12"/>
      </w:r>
      <w:r w:rsidR="001B09C6">
        <w:rPr>
          <w:rFonts w:ascii="Times New Roman" w:hAnsi="Times New Roman" w:cs="Times New Roman"/>
          <w:sz w:val="24"/>
          <w:szCs w:val="24"/>
        </w:rPr>
        <w:t xml:space="preserve"> </w:t>
      </w:r>
      <w:r w:rsidR="00831AC3">
        <w:rPr>
          <w:rFonts w:ascii="Times New Roman" w:hAnsi="Times New Roman" w:cs="Times New Roman"/>
          <w:sz w:val="24"/>
          <w:szCs w:val="24"/>
        </w:rPr>
        <w:t>This was intended to be an intermediate level of misconduct, between simple and gross misconduct, with a corresponding reduction in unemployment benefits.</w:t>
      </w:r>
      <w:r w:rsidR="00E6098A">
        <w:rPr>
          <w:rStyle w:val="FootnoteReference"/>
          <w:rFonts w:ascii="Times New Roman" w:hAnsi="Times New Roman" w:cs="Times New Roman"/>
          <w:sz w:val="24"/>
          <w:szCs w:val="24"/>
        </w:rPr>
        <w:footnoteReference w:id="13"/>
      </w:r>
      <w:r w:rsidR="00831AC3">
        <w:rPr>
          <w:rFonts w:ascii="Times New Roman" w:hAnsi="Times New Roman" w:cs="Times New Roman"/>
          <w:sz w:val="24"/>
          <w:szCs w:val="24"/>
        </w:rPr>
        <w:t xml:space="preserve"> </w:t>
      </w:r>
      <w:r w:rsidR="006F0996">
        <w:rPr>
          <w:rFonts w:ascii="Times New Roman" w:hAnsi="Times New Roman" w:cs="Times New Roman"/>
          <w:sz w:val="24"/>
          <w:szCs w:val="24"/>
        </w:rPr>
        <w:t>As with “simple misconduct,”</w:t>
      </w:r>
      <w:r w:rsidR="00B05CC6">
        <w:rPr>
          <w:rFonts w:ascii="Times New Roman" w:hAnsi="Times New Roman" w:cs="Times New Roman"/>
          <w:sz w:val="24"/>
          <w:szCs w:val="24"/>
        </w:rPr>
        <w:t xml:space="preserve"> “</w:t>
      </w:r>
      <w:r w:rsidR="006F0996">
        <w:rPr>
          <w:rFonts w:ascii="Times New Roman" w:hAnsi="Times New Roman" w:cs="Times New Roman"/>
          <w:sz w:val="24"/>
          <w:szCs w:val="24"/>
        </w:rPr>
        <w:t>s</w:t>
      </w:r>
      <w:r w:rsidR="00B05CC6">
        <w:rPr>
          <w:rFonts w:ascii="Times New Roman" w:hAnsi="Times New Roman" w:cs="Times New Roman"/>
          <w:sz w:val="24"/>
          <w:szCs w:val="24"/>
        </w:rPr>
        <w:t>evere misconduct” was also not defined; instead, the amendment gave a non-exclusive list of examples.</w:t>
      </w:r>
      <w:r w:rsidR="00B05CC6">
        <w:rPr>
          <w:rStyle w:val="FootnoteReference"/>
          <w:rFonts w:ascii="Times New Roman" w:hAnsi="Times New Roman" w:cs="Times New Roman"/>
          <w:sz w:val="24"/>
          <w:szCs w:val="24"/>
        </w:rPr>
        <w:footnoteReference w:id="14"/>
      </w:r>
    </w:p>
    <w:p w14:paraId="03B6F4CD" w14:textId="1CDA2023" w:rsidR="00FF02AC" w:rsidRDefault="00FF02AC" w:rsidP="00C760B7">
      <w:pPr>
        <w:spacing w:after="0"/>
        <w:ind w:firstLine="720"/>
        <w:jc w:val="both"/>
        <w:rPr>
          <w:rFonts w:ascii="Times New Roman" w:hAnsi="Times New Roman" w:cs="Times New Roman"/>
          <w:sz w:val="24"/>
          <w:szCs w:val="24"/>
        </w:rPr>
      </w:pPr>
    </w:p>
    <w:p w14:paraId="770F9303" w14:textId="4E2D4E28" w:rsidR="00FF02AC" w:rsidRDefault="00FF02AC" w:rsidP="00C760B7">
      <w:pPr>
        <w:spacing w:after="0"/>
        <w:jc w:val="center"/>
        <w:rPr>
          <w:rFonts w:ascii="Times New Roman" w:hAnsi="Times New Roman" w:cs="Times New Roman"/>
          <w:b/>
          <w:i/>
          <w:sz w:val="24"/>
          <w:szCs w:val="24"/>
        </w:rPr>
      </w:pPr>
      <w:r>
        <w:rPr>
          <w:rFonts w:ascii="Times New Roman" w:hAnsi="Times New Roman" w:cs="Times New Roman"/>
          <w:b/>
          <w:i/>
          <w:sz w:val="24"/>
          <w:szCs w:val="24"/>
        </w:rPr>
        <w:t>In Re N.J.A.C. 12:17-2.1</w:t>
      </w:r>
    </w:p>
    <w:p w14:paraId="28CD0857" w14:textId="77777777" w:rsidR="00C760B7" w:rsidRPr="00FF02AC" w:rsidRDefault="00C760B7" w:rsidP="00C760B7">
      <w:pPr>
        <w:spacing w:after="0"/>
        <w:jc w:val="both"/>
        <w:rPr>
          <w:rFonts w:ascii="Times New Roman" w:hAnsi="Times New Roman" w:cs="Times New Roman"/>
          <w:b/>
          <w:sz w:val="24"/>
          <w:szCs w:val="24"/>
        </w:rPr>
      </w:pPr>
    </w:p>
    <w:p w14:paraId="0DA521DD" w14:textId="5FB34396" w:rsidR="00202257" w:rsidRDefault="00D70FE9" w:rsidP="00C760B7">
      <w:pPr>
        <w:spacing w:after="0"/>
        <w:jc w:val="both"/>
        <w:rPr>
          <w:rFonts w:ascii="Times New Roman" w:hAnsi="Times New Roman" w:cs="Times New Roman"/>
          <w:sz w:val="24"/>
          <w:szCs w:val="24"/>
        </w:rPr>
      </w:pPr>
      <w:r>
        <w:rPr>
          <w:rFonts w:ascii="Times New Roman" w:hAnsi="Times New Roman" w:cs="Times New Roman"/>
          <w:sz w:val="24"/>
          <w:szCs w:val="24"/>
        </w:rPr>
        <w:tab/>
        <w:t>The Department of Labor and Workforce Development</w:t>
      </w:r>
      <w:r w:rsidR="00202257">
        <w:rPr>
          <w:rFonts w:ascii="Times New Roman" w:hAnsi="Times New Roman" w:cs="Times New Roman"/>
          <w:sz w:val="24"/>
          <w:szCs w:val="24"/>
        </w:rPr>
        <w:t xml:space="preserve"> (“Department”)</w:t>
      </w:r>
      <w:r>
        <w:rPr>
          <w:rFonts w:ascii="Times New Roman" w:hAnsi="Times New Roman" w:cs="Times New Roman"/>
          <w:sz w:val="24"/>
          <w:szCs w:val="24"/>
        </w:rPr>
        <w:t xml:space="preserve"> sought to clarify the degrees of misconduct in the wake of the Appellate Division’s decision in </w:t>
      </w:r>
      <w:r>
        <w:rPr>
          <w:rFonts w:ascii="Times New Roman" w:hAnsi="Times New Roman" w:cs="Times New Roman"/>
          <w:i/>
          <w:iCs/>
          <w:sz w:val="24"/>
          <w:szCs w:val="24"/>
        </w:rPr>
        <w:t>Silver</w:t>
      </w:r>
      <w:r>
        <w:rPr>
          <w:rFonts w:ascii="Times New Roman" w:hAnsi="Times New Roman" w:cs="Times New Roman"/>
          <w:sz w:val="24"/>
          <w:szCs w:val="24"/>
        </w:rPr>
        <w:t xml:space="preserve">, supra. </w:t>
      </w:r>
      <w:r>
        <w:rPr>
          <w:rFonts w:ascii="Times New Roman" w:hAnsi="Times New Roman" w:cs="Times New Roman"/>
          <w:i/>
          <w:iCs/>
          <w:sz w:val="24"/>
          <w:szCs w:val="24"/>
        </w:rPr>
        <w:t>Silver</w:t>
      </w:r>
      <w:r>
        <w:rPr>
          <w:rFonts w:ascii="Times New Roman" w:hAnsi="Times New Roman" w:cs="Times New Roman"/>
          <w:sz w:val="24"/>
          <w:szCs w:val="24"/>
        </w:rPr>
        <w:t xml:space="preserve"> concerned a teacher at </w:t>
      </w:r>
      <w:r w:rsidR="006C7281">
        <w:rPr>
          <w:rFonts w:ascii="Times New Roman" w:hAnsi="Times New Roman" w:cs="Times New Roman"/>
          <w:sz w:val="24"/>
          <w:szCs w:val="24"/>
        </w:rPr>
        <w:t>the Middlesex County Youth Facility whose job required her to ensure that pens distributed at the beginning of class were returned at class end, since they could be used as weapons. Over the span of her employment she failed to do so six times. After her sixth infraction she received a warning that she would be fired if it happened again, and when it did</w:t>
      </w:r>
      <w:r w:rsidR="00C760B7">
        <w:rPr>
          <w:rFonts w:ascii="Times New Roman" w:hAnsi="Times New Roman" w:cs="Times New Roman"/>
          <w:sz w:val="24"/>
          <w:szCs w:val="24"/>
        </w:rPr>
        <w:t>,</w:t>
      </w:r>
      <w:r w:rsidR="006C7281">
        <w:rPr>
          <w:rFonts w:ascii="Times New Roman" w:hAnsi="Times New Roman" w:cs="Times New Roman"/>
          <w:sz w:val="24"/>
          <w:szCs w:val="24"/>
        </w:rPr>
        <w:t xml:space="preserve"> she was </w:t>
      </w:r>
      <w:r w:rsidR="00202257">
        <w:rPr>
          <w:rFonts w:ascii="Times New Roman" w:hAnsi="Times New Roman" w:cs="Times New Roman"/>
          <w:sz w:val="24"/>
          <w:szCs w:val="24"/>
        </w:rPr>
        <w:t>let go</w:t>
      </w:r>
      <w:r w:rsidR="006C7281">
        <w:rPr>
          <w:rFonts w:ascii="Times New Roman" w:hAnsi="Times New Roman" w:cs="Times New Roman"/>
          <w:sz w:val="24"/>
          <w:szCs w:val="24"/>
        </w:rPr>
        <w:t>.</w:t>
      </w:r>
      <w:r w:rsidR="00202257">
        <w:rPr>
          <w:rFonts w:ascii="Times New Roman" w:hAnsi="Times New Roman" w:cs="Times New Roman"/>
          <w:sz w:val="24"/>
          <w:szCs w:val="24"/>
        </w:rPr>
        <w:t xml:space="preserve"> A Department deputy determined the claimant was ineligible to receive benefits because she was fired for severe misconduct; two subsequent appeals</w:t>
      </w:r>
      <w:r w:rsidR="005A78B3">
        <w:rPr>
          <w:rFonts w:ascii="Times New Roman" w:hAnsi="Times New Roman" w:cs="Times New Roman"/>
          <w:sz w:val="24"/>
          <w:szCs w:val="24"/>
        </w:rPr>
        <w:t xml:space="preserve"> to the Department</w:t>
      </w:r>
      <w:r w:rsidR="00202257">
        <w:rPr>
          <w:rFonts w:ascii="Times New Roman" w:hAnsi="Times New Roman" w:cs="Times New Roman"/>
          <w:sz w:val="24"/>
          <w:szCs w:val="24"/>
        </w:rPr>
        <w:t xml:space="preserve"> affirmed this decision.</w:t>
      </w:r>
    </w:p>
    <w:p w14:paraId="5CC5B736" w14:textId="77777777" w:rsidR="00C760B7" w:rsidRDefault="00C760B7" w:rsidP="00C760B7">
      <w:pPr>
        <w:spacing w:after="0"/>
        <w:jc w:val="both"/>
        <w:rPr>
          <w:rFonts w:ascii="Times New Roman" w:hAnsi="Times New Roman" w:cs="Times New Roman"/>
          <w:sz w:val="24"/>
          <w:szCs w:val="24"/>
        </w:rPr>
      </w:pPr>
    </w:p>
    <w:p w14:paraId="2B4A4C35" w14:textId="1DAB3DA5" w:rsidR="00202257" w:rsidRDefault="00202257" w:rsidP="00C760B7">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The Appellate Division, in examining the record, </w:t>
      </w:r>
      <w:r w:rsidR="001E3FB0">
        <w:rPr>
          <w:rFonts w:ascii="Times New Roman" w:hAnsi="Times New Roman" w:cs="Times New Roman"/>
          <w:sz w:val="24"/>
          <w:szCs w:val="24"/>
        </w:rPr>
        <w:t>found that</w:t>
      </w:r>
      <w:r>
        <w:rPr>
          <w:rFonts w:ascii="Times New Roman" w:hAnsi="Times New Roman" w:cs="Times New Roman"/>
          <w:sz w:val="24"/>
          <w:szCs w:val="24"/>
        </w:rPr>
        <w:t xml:space="preserve"> the decision of the Appeal Tribunal failed to note the requirement that conduct complained of be intentional, deliberate, and malicious, and that this requirement also was missing from the Department’s briefs.</w:t>
      </w:r>
      <w:r w:rsidR="005A78B3">
        <w:rPr>
          <w:rFonts w:ascii="Times New Roman" w:hAnsi="Times New Roman" w:cs="Times New Roman"/>
          <w:sz w:val="24"/>
          <w:szCs w:val="24"/>
        </w:rPr>
        <w:t xml:space="preserve"> As well, the Department’s findings did not include intentional or deliberate conduct or malicious intent. The Court opined that </w:t>
      </w:r>
      <w:r w:rsidR="007B3779">
        <w:rPr>
          <w:rFonts w:ascii="Times New Roman" w:hAnsi="Times New Roman" w:cs="Times New Roman"/>
          <w:sz w:val="24"/>
          <w:szCs w:val="24"/>
        </w:rPr>
        <w:t>it was “clear” that</w:t>
      </w:r>
      <w:r w:rsidR="005A78B3">
        <w:rPr>
          <w:rFonts w:ascii="Times New Roman" w:hAnsi="Times New Roman" w:cs="Times New Roman"/>
          <w:sz w:val="24"/>
          <w:szCs w:val="24"/>
        </w:rPr>
        <w:t xml:space="preserve"> the claimant’s behavior “was a result of negligence or inadvertence, not intentional or deliberate disregard of the employer’s rule.”</w:t>
      </w:r>
      <w:r w:rsidR="00196359">
        <w:rPr>
          <w:rStyle w:val="FootnoteReference"/>
          <w:rFonts w:ascii="Times New Roman" w:hAnsi="Times New Roman" w:cs="Times New Roman"/>
          <w:sz w:val="24"/>
          <w:szCs w:val="24"/>
        </w:rPr>
        <w:footnoteReference w:id="15"/>
      </w:r>
      <w:r w:rsidR="001E3FB0">
        <w:rPr>
          <w:rFonts w:ascii="Times New Roman" w:hAnsi="Times New Roman" w:cs="Times New Roman"/>
          <w:sz w:val="24"/>
          <w:szCs w:val="24"/>
        </w:rPr>
        <w:t xml:space="preserve"> Consequently, since the behavior did not meet the threshold for simple misconduct, it could not rise to severe misconduct.</w:t>
      </w:r>
      <w:r w:rsidR="001E3FB0">
        <w:rPr>
          <w:rStyle w:val="FootnoteReference"/>
          <w:rFonts w:ascii="Times New Roman" w:hAnsi="Times New Roman" w:cs="Times New Roman"/>
          <w:sz w:val="24"/>
          <w:szCs w:val="24"/>
        </w:rPr>
        <w:footnoteReference w:id="16"/>
      </w:r>
    </w:p>
    <w:p w14:paraId="28128901" w14:textId="77777777" w:rsidR="00C760B7" w:rsidRDefault="00C760B7" w:rsidP="00C760B7">
      <w:pPr>
        <w:spacing w:after="0"/>
        <w:jc w:val="both"/>
        <w:rPr>
          <w:rFonts w:ascii="Times New Roman" w:hAnsi="Times New Roman" w:cs="Times New Roman"/>
          <w:sz w:val="24"/>
          <w:szCs w:val="24"/>
        </w:rPr>
      </w:pPr>
    </w:p>
    <w:p w14:paraId="624D06FD" w14:textId="47C2B9F7" w:rsidR="00216D01" w:rsidRDefault="00AD6571" w:rsidP="00C760B7">
      <w:pPr>
        <w:spacing w:after="0"/>
        <w:jc w:val="both"/>
        <w:rPr>
          <w:rFonts w:ascii="Times New Roman" w:hAnsi="Times New Roman" w:cs="Times New Roman"/>
          <w:sz w:val="24"/>
          <w:szCs w:val="24"/>
        </w:rPr>
      </w:pPr>
      <w:r>
        <w:rPr>
          <w:rFonts w:ascii="Times New Roman" w:hAnsi="Times New Roman" w:cs="Times New Roman"/>
          <w:sz w:val="24"/>
          <w:szCs w:val="24"/>
        </w:rPr>
        <w:tab/>
      </w:r>
      <w:r w:rsidR="00216D01">
        <w:rPr>
          <w:rFonts w:ascii="Times New Roman" w:hAnsi="Times New Roman" w:cs="Times New Roman"/>
          <w:sz w:val="24"/>
          <w:szCs w:val="24"/>
        </w:rPr>
        <w:t xml:space="preserve">  The Court noted that</w:t>
      </w:r>
      <w:r w:rsidR="001E3FB0">
        <w:rPr>
          <w:rFonts w:ascii="Times New Roman" w:hAnsi="Times New Roman" w:cs="Times New Roman"/>
          <w:sz w:val="24"/>
          <w:szCs w:val="24"/>
        </w:rPr>
        <w:t xml:space="preserve"> since</w:t>
      </w:r>
      <w:r w:rsidR="00216D01">
        <w:rPr>
          <w:rFonts w:ascii="Times New Roman" w:hAnsi="Times New Roman" w:cs="Times New Roman"/>
          <w:sz w:val="24"/>
          <w:szCs w:val="24"/>
        </w:rPr>
        <w:t xml:space="preserve"> severe misconduct was intended as a gap-filler, </w:t>
      </w:r>
      <w:r w:rsidR="001E3FB0">
        <w:rPr>
          <w:rFonts w:ascii="Times New Roman" w:hAnsi="Times New Roman" w:cs="Times New Roman"/>
          <w:sz w:val="24"/>
          <w:szCs w:val="24"/>
        </w:rPr>
        <w:t xml:space="preserve">and since </w:t>
      </w:r>
      <w:r w:rsidR="00216D01">
        <w:rPr>
          <w:rFonts w:ascii="Times New Roman" w:hAnsi="Times New Roman" w:cs="Times New Roman"/>
          <w:sz w:val="24"/>
          <w:szCs w:val="24"/>
        </w:rPr>
        <w:t xml:space="preserve">“misconduct” should have the same meaning throughout the statute, “severe misconduct” also </w:t>
      </w:r>
      <w:r w:rsidR="00216D01">
        <w:rPr>
          <w:rFonts w:ascii="Times New Roman" w:hAnsi="Times New Roman" w:cs="Times New Roman"/>
          <w:sz w:val="24"/>
          <w:szCs w:val="24"/>
        </w:rPr>
        <w:lastRenderedPageBreak/>
        <w:t>required behavior that was “done intentionally, deliberately, and with malice.”</w:t>
      </w:r>
      <w:r w:rsidR="00216D01">
        <w:rPr>
          <w:rStyle w:val="FootnoteReference"/>
          <w:rFonts w:ascii="Times New Roman" w:hAnsi="Times New Roman" w:cs="Times New Roman"/>
          <w:sz w:val="24"/>
          <w:szCs w:val="24"/>
        </w:rPr>
        <w:footnoteReference w:id="17"/>
      </w:r>
      <w:r w:rsidR="00216D01">
        <w:rPr>
          <w:rFonts w:ascii="Times New Roman" w:hAnsi="Times New Roman" w:cs="Times New Roman"/>
          <w:sz w:val="24"/>
          <w:szCs w:val="24"/>
        </w:rPr>
        <w:t xml:space="preserve"> Finding that the Department had “ignored its own regulation defining ‘misconduct’,” the Appellate Division reversed the Department’s decision.</w:t>
      </w:r>
      <w:r w:rsidR="00216D01">
        <w:rPr>
          <w:rStyle w:val="FootnoteReference"/>
          <w:rFonts w:ascii="Times New Roman" w:hAnsi="Times New Roman" w:cs="Times New Roman"/>
          <w:sz w:val="24"/>
          <w:szCs w:val="24"/>
        </w:rPr>
        <w:footnoteReference w:id="18"/>
      </w:r>
    </w:p>
    <w:p w14:paraId="6A1EC4E6" w14:textId="77777777" w:rsidR="00C760B7" w:rsidRPr="00D70FE9" w:rsidRDefault="00C760B7" w:rsidP="00C760B7">
      <w:pPr>
        <w:spacing w:after="0"/>
        <w:jc w:val="both"/>
        <w:rPr>
          <w:rFonts w:ascii="Times New Roman" w:hAnsi="Times New Roman" w:cs="Times New Roman"/>
          <w:sz w:val="24"/>
          <w:szCs w:val="24"/>
        </w:rPr>
      </w:pPr>
    </w:p>
    <w:p w14:paraId="4E87D047" w14:textId="5C79C02A" w:rsidR="003D5F37" w:rsidRDefault="00216D01" w:rsidP="00C760B7">
      <w:pPr>
        <w:spacing w:after="0"/>
        <w:ind w:firstLine="720"/>
        <w:jc w:val="both"/>
        <w:rPr>
          <w:rFonts w:ascii="Times New Roman" w:hAnsi="Times New Roman" w:cs="Times New Roman"/>
          <w:sz w:val="24"/>
          <w:szCs w:val="24"/>
        </w:rPr>
      </w:pPr>
      <w:r>
        <w:rPr>
          <w:rFonts w:ascii="Times New Roman" w:hAnsi="Times New Roman" w:cs="Times New Roman"/>
          <w:sz w:val="24"/>
          <w:szCs w:val="24"/>
        </w:rPr>
        <w:t>A</w:t>
      </w:r>
      <w:r w:rsidR="00AD6571">
        <w:rPr>
          <w:rFonts w:ascii="Times New Roman" w:hAnsi="Times New Roman" w:cs="Times New Roman"/>
          <w:sz w:val="24"/>
          <w:szCs w:val="24"/>
        </w:rPr>
        <w:t xml:space="preserve">fter the </w:t>
      </w:r>
      <w:r w:rsidR="00AD6571">
        <w:rPr>
          <w:rFonts w:ascii="Times New Roman" w:hAnsi="Times New Roman" w:cs="Times New Roman"/>
          <w:i/>
          <w:iCs/>
          <w:sz w:val="24"/>
          <w:szCs w:val="24"/>
        </w:rPr>
        <w:t>Silver</w:t>
      </w:r>
      <w:r w:rsidR="00AD6571">
        <w:rPr>
          <w:rFonts w:ascii="Times New Roman" w:hAnsi="Times New Roman" w:cs="Times New Roman"/>
          <w:sz w:val="24"/>
          <w:szCs w:val="24"/>
        </w:rPr>
        <w:t xml:space="preserve"> decision, the Department attempted to define simple misconduct</w:t>
      </w:r>
      <w:r w:rsidR="001E3FB0">
        <w:rPr>
          <w:rFonts w:ascii="Times New Roman" w:hAnsi="Times New Roman" w:cs="Times New Roman"/>
          <w:sz w:val="24"/>
          <w:szCs w:val="24"/>
        </w:rPr>
        <w:t>,</w:t>
      </w:r>
      <w:r w:rsidR="00AD6571">
        <w:rPr>
          <w:rFonts w:ascii="Times New Roman" w:hAnsi="Times New Roman" w:cs="Times New Roman"/>
          <w:sz w:val="24"/>
          <w:szCs w:val="24"/>
        </w:rPr>
        <w:t xml:space="preserve"> to distinguish it from severe misconduct. In </w:t>
      </w:r>
      <w:r>
        <w:rPr>
          <w:rFonts w:ascii="Times New Roman" w:hAnsi="Times New Roman" w:cs="Times New Roman"/>
          <w:sz w:val="24"/>
          <w:szCs w:val="24"/>
        </w:rPr>
        <w:t xml:space="preserve">August </w:t>
      </w:r>
      <w:r w:rsidR="00AD6571">
        <w:rPr>
          <w:rFonts w:ascii="Times New Roman" w:hAnsi="Times New Roman" w:cs="Times New Roman"/>
          <w:sz w:val="24"/>
          <w:szCs w:val="24"/>
        </w:rPr>
        <w:t>2014, it proposed amendments</w:t>
      </w:r>
      <w:r w:rsidR="005841D1">
        <w:rPr>
          <w:rFonts w:ascii="Times New Roman" w:hAnsi="Times New Roman" w:cs="Times New Roman"/>
          <w:sz w:val="24"/>
          <w:szCs w:val="24"/>
        </w:rPr>
        <w:t xml:space="preserve"> and a repeal within N.J.A.C. 12:17-2, 9, 10, and 21 in order to implement P.L. 2010, c. 37</w:t>
      </w:r>
      <w:r w:rsidR="00AC11DC">
        <w:rPr>
          <w:rFonts w:ascii="Times New Roman" w:hAnsi="Times New Roman" w:cs="Times New Roman"/>
          <w:sz w:val="24"/>
          <w:szCs w:val="24"/>
        </w:rPr>
        <w:t>, which would create the new category of “severe misconduct.”</w:t>
      </w:r>
      <w:r w:rsidR="00AC11DC">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AC11DC">
        <w:rPr>
          <w:rFonts w:ascii="Times New Roman" w:hAnsi="Times New Roman" w:cs="Times New Roman"/>
          <w:sz w:val="24"/>
          <w:szCs w:val="24"/>
        </w:rPr>
        <w:t>(The amendments and repeals were originally proposed in November 2010 but were not adopted.</w:t>
      </w:r>
      <w:r w:rsidR="00AC11DC">
        <w:rPr>
          <w:rStyle w:val="FootnoteReference"/>
          <w:rFonts w:ascii="Times New Roman" w:hAnsi="Times New Roman" w:cs="Times New Roman"/>
          <w:sz w:val="24"/>
          <w:szCs w:val="24"/>
        </w:rPr>
        <w:footnoteReference w:id="20"/>
      </w:r>
      <w:r w:rsidR="00AC11DC">
        <w:rPr>
          <w:rFonts w:ascii="Times New Roman" w:hAnsi="Times New Roman" w:cs="Times New Roman"/>
          <w:sz w:val="24"/>
          <w:szCs w:val="24"/>
        </w:rPr>
        <w:t xml:space="preserve"> A second attempt was begun in January 2013, but immediately after the close of the comment period the Appellate Decision issued its decision in </w:t>
      </w:r>
      <w:r w:rsidR="00AC11DC">
        <w:rPr>
          <w:rFonts w:ascii="Times New Roman" w:hAnsi="Times New Roman" w:cs="Times New Roman"/>
          <w:i/>
          <w:iCs/>
          <w:sz w:val="24"/>
          <w:szCs w:val="24"/>
        </w:rPr>
        <w:t>Silver</w:t>
      </w:r>
      <w:r w:rsidR="00AC11DC">
        <w:rPr>
          <w:rFonts w:ascii="Times New Roman" w:hAnsi="Times New Roman" w:cs="Times New Roman"/>
          <w:sz w:val="24"/>
          <w:szCs w:val="24"/>
        </w:rPr>
        <w:t>, and the Department determined that additional changes to the proposed definitions were necessary.</w:t>
      </w:r>
      <w:r w:rsidR="00AC11DC">
        <w:rPr>
          <w:rStyle w:val="FootnoteReference"/>
          <w:rFonts w:ascii="Times New Roman" w:hAnsi="Times New Roman" w:cs="Times New Roman"/>
          <w:sz w:val="24"/>
          <w:szCs w:val="24"/>
        </w:rPr>
        <w:footnoteReference w:id="21"/>
      </w:r>
      <w:r w:rsidR="00AC11DC">
        <w:rPr>
          <w:rFonts w:ascii="Times New Roman" w:hAnsi="Times New Roman" w:cs="Times New Roman"/>
          <w:sz w:val="24"/>
          <w:szCs w:val="24"/>
        </w:rPr>
        <w:t xml:space="preserve">) </w:t>
      </w:r>
      <w:r w:rsidR="003D5F37">
        <w:rPr>
          <w:rFonts w:ascii="Times New Roman" w:hAnsi="Times New Roman" w:cs="Times New Roman"/>
          <w:sz w:val="24"/>
          <w:szCs w:val="24"/>
        </w:rPr>
        <w:t>A</w:t>
      </w:r>
      <w:r>
        <w:rPr>
          <w:rFonts w:ascii="Times New Roman" w:hAnsi="Times New Roman" w:cs="Times New Roman"/>
          <w:sz w:val="24"/>
          <w:szCs w:val="24"/>
        </w:rPr>
        <w:t>ppellants</w:t>
      </w:r>
      <w:r w:rsidR="003D5F37">
        <w:rPr>
          <w:rFonts w:ascii="Times New Roman" w:hAnsi="Times New Roman" w:cs="Times New Roman"/>
          <w:sz w:val="24"/>
          <w:szCs w:val="24"/>
        </w:rPr>
        <w:t xml:space="preserve"> (one law firm, the National Employment Lawyers Association, and Legal Services of New Jersey)</w:t>
      </w:r>
      <w:r>
        <w:rPr>
          <w:rFonts w:ascii="Times New Roman" w:hAnsi="Times New Roman" w:cs="Times New Roman"/>
          <w:sz w:val="24"/>
          <w:szCs w:val="24"/>
        </w:rPr>
        <w:t xml:space="preserve"> submitted written objections </w:t>
      </w:r>
      <w:r w:rsidR="003D5F37">
        <w:rPr>
          <w:rFonts w:ascii="Times New Roman" w:hAnsi="Times New Roman" w:cs="Times New Roman"/>
          <w:sz w:val="24"/>
          <w:szCs w:val="24"/>
        </w:rPr>
        <w:t xml:space="preserve">in </w:t>
      </w:r>
      <w:r>
        <w:rPr>
          <w:rFonts w:ascii="Times New Roman" w:hAnsi="Times New Roman" w:cs="Times New Roman"/>
          <w:sz w:val="24"/>
          <w:szCs w:val="24"/>
        </w:rPr>
        <w:t xml:space="preserve">September </w:t>
      </w:r>
      <w:r w:rsidR="003D5F37">
        <w:rPr>
          <w:rFonts w:ascii="Times New Roman" w:hAnsi="Times New Roman" w:cs="Times New Roman"/>
          <w:sz w:val="24"/>
          <w:szCs w:val="24"/>
        </w:rPr>
        <w:t>and October of</w:t>
      </w:r>
      <w:r>
        <w:rPr>
          <w:rFonts w:ascii="Times New Roman" w:hAnsi="Times New Roman" w:cs="Times New Roman"/>
          <w:sz w:val="24"/>
          <w:szCs w:val="24"/>
        </w:rPr>
        <w:t xml:space="preserve"> 2014.</w:t>
      </w:r>
      <w:r>
        <w:rPr>
          <w:rStyle w:val="FootnoteReference"/>
          <w:rFonts w:ascii="Times New Roman" w:hAnsi="Times New Roman" w:cs="Times New Roman"/>
          <w:sz w:val="24"/>
          <w:szCs w:val="24"/>
        </w:rPr>
        <w:footnoteReference w:id="22"/>
      </w:r>
      <w:r w:rsidR="00AD6571">
        <w:rPr>
          <w:rFonts w:ascii="Times New Roman" w:hAnsi="Times New Roman" w:cs="Times New Roman"/>
          <w:sz w:val="24"/>
          <w:szCs w:val="24"/>
        </w:rPr>
        <w:t xml:space="preserve"> </w:t>
      </w:r>
      <w:r>
        <w:rPr>
          <w:rFonts w:ascii="Times New Roman" w:hAnsi="Times New Roman" w:cs="Times New Roman"/>
          <w:sz w:val="24"/>
          <w:szCs w:val="24"/>
        </w:rPr>
        <w:t xml:space="preserve">On September 5, 2014, the Department </w:t>
      </w:r>
      <w:r w:rsidR="00AD6571">
        <w:rPr>
          <w:rFonts w:ascii="Times New Roman" w:hAnsi="Times New Roman" w:cs="Times New Roman"/>
          <w:sz w:val="24"/>
          <w:szCs w:val="24"/>
        </w:rPr>
        <w:t xml:space="preserve">held </w:t>
      </w:r>
      <w:r>
        <w:rPr>
          <w:rFonts w:ascii="Times New Roman" w:hAnsi="Times New Roman" w:cs="Times New Roman"/>
          <w:sz w:val="24"/>
          <w:szCs w:val="24"/>
        </w:rPr>
        <w:t xml:space="preserve">a </w:t>
      </w:r>
      <w:r w:rsidR="00AD6571">
        <w:rPr>
          <w:rFonts w:ascii="Times New Roman" w:hAnsi="Times New Roman" w:cs="Times New Roman"/>
          <w:sz w:val="24"/>
          <w:szCs w:val="24"/>
        </w:rPr>
        <w:t>public hearing</w:t>
      </w:r>
      <w:r w:rsidR="003D5F37">
        <w:rPr>
          <w:rFonts w:ascii="Times New Roman" w:hAnsi="Times New Roman" w:cs="Times New Roman"/>
          <w:sz w:val="24"/>
          <w:szCs w:val="24"/>
        </w:rPr>
        <w:t>, at which one lawyer presented oral objections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r w:rsidR="003D5F37">
        <w:rPr>
          <w:rFonts w:ascii="Times New Roman" w:hAnsi="Times New Roman" w:cs="Times New Roman"/>
          <w:sz w:val="24"/>
          <w:szCs w:val="24"/>
        </w:rPr>
        <w:t>Subsequently, in April 2015 the proposed amendments were adopted and N.J.A.C. 12:17-10.2 was repealed.</w:t>
      </w:r>
      <w:r w:rsidR="003D5F37">
        <w:rPr>
          <w:rStyle w:val="FootnoteReference"/>
          <w:rFonts w:ascii="Times New Roman" w:hAnsi="Times New Roman" w:cs="Times New Roman"/>
          <w:sz w:val="24"/>
          <w:szCs w:val="24"/>
        </w:rPr>
        <w:footnoteReference w:id="24"/>
      </w:r>
      <w:r w:rsidR="003D5F37" w:rsidRPr="003D5F37">
        <w:rPr>
          <w:rFonts w:ascii="Times New Roman" w:hAnsi="Times New Roman" w:cs="Times New Roman"/>
          <w:sz w:val="24"/>
          <w:szCs w:val="24"/>
        </w:rPr>
        <w:t xml:space="preserve"> </w:t>
      </w:r>
      <w:r w:rsidR="003D5F37">
        <w:rPr>
          <w:rFonts w:ascii="Times New Roman" w:hAnsi="Times New Roman" w:cs="Times New Roman"/>
          <w:sz w:val="24"/>
          <w:szCs w:val="24"/>
        </w:rPr>
        <w:t>Appellants timely appealed the regulations, and the case was heard by the Appellate Division.</w:t>
      </w:r>
      <w:r w:rsidR="003D5F37">
        <w:rPr>
          <w:rStyle w:val="FootnoteReference"/>
          <w:rFonts w:ascii="Times New Roman" w:hAnsi="Times New Roman" w:cs="Times New Roman"/>
          <w:sz w:val="24"/>
          <w:szCs w:val="24"/>
        </w:rPr>
        <w:footnoteReference w:id="25"/>
      </w:r>
    </w:p>
    <w:p w14:paraId="3974AE15" w14:textId="77777777" w:rsidR="00C760B7" w:rsidRDefault="00C760B7" w:rsidP="00C760B7">
      <w:pPr>
        <w:spacing w:after="0"/>
        <w:ind w:firstLine="720"/>
        <w:jc w:val="both"/>
        <w:rPr>
          <w:rFonts w:ascii="Times New Roman" w:hAnsi="Times New Roman" w:cs="Times New Roman"/>
          <w:sz w:val="24"/>
          <w:szCs w:val="24"/>
        </w:rPr>
      </w:pPr>
    </w:p>
    <w:p w14:paraId="108C79F2" w14:textId="542AF413" w:rsidR="001E3FB0" w:rsidRDefault="001E3FB0" w:rsidP="00C760B7">
      <w:pPr>
        <w:spacing w:after="0"/>
        <w:ind w:firstLine="720"/>
        <w:jc w:val="both"/>
        <w:rPr>
          <w:rFonts w:ascii="Times New Roman" w:hAnsi="Times New Roman" w:cs="Times New Roman"/>
          <w:sz w:val="24"/>
          <w:szCs w:val="24"/>
        </w:rPr>
      </w:pPr>
      <w:r>
        <w:rPr>
          <w:rFonts w:ascii="Times New Roman" w:hAnsi="Times New Roman" w:cs="Times New Roman"/>
          <w:sz w:val="24"/>
          <w:szCs w:val="24"/>
        </w:rPr>
        <w:t>The Appellate Division noted that its review of administrative agency decisions is “both narrow and deferential.”</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The Court also was mindful that, although enacted regulations are given “a presumption of validity,” they may be “set … aside where they are shown to be ‘unreasonable or irrational[.]’”</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Finding that the Department failed to distinguish between negligent and intentional conduct, the Court set aside as arbitrary and capricious the portion of N.J.A.C. 12:17-2.1 that defines “simple misconduct.”</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The Court then stayed its decision to allow the Department to respond.</w:t>
      </w:r>
      <w:r>
        <w:rPr>
          <w:rStyle w:val="FootnoteReference"/>
          <w:rFonts w:ascii="Times New Roman" w:hAnsi="Times New Roman" w:cs="Times New Roman"/>
          <w:sz w:val="24"/>
          <w:szCs w:val="24"/>
        </w:rPr>
        <w:footnoteReference w:id="29"/>
      </w:r>
    </w:p>
    <w:p w14:paraId="4C471F24" w14:textId="77777777" w:rsidR="00C760B7" w:rsidRDefault="00C760B7" w:rsidP="00C760B7">
      <w:pPr>
        <w:spacing w:after="0"/>
        <w:ind w:firstLine="720"/>
        <w:jc w:val="both"/>
        <w:rPr>
          <w:rFonts w:ascii="Times New Roman" w:hAnsi="Times New Roman" w:cs="Times New Roman"/>
          <w:sz w:val="24"/>
          <w:szCs w:val="24"/>
        </w:rPr>
      </w:pPr>
    </w:p>
    <w:p w14:paraId="0EE263EF" w14:textId="26367C78" w:rsidR="001E3FB0" w:rsidRDefault="001E3FB0" w:rsidP="00C760B7">
      <w:pPr>
        <w:spacing w:after="0"/>
        <w:ind w:firstLine="720"/>
        <w:jc w:val="both"/>
        <w:rPr>
          <w:rFonts w:ascii="Times New Roman" w:hAnsi="Times New Roman" w:cs="Times New Roman"/>
          <w:sz w:val="24"/>
          <w:szCs w:val="24"/>
        </w:rPr>
      </w:pPr>
      <w:r>
        <w:rPr>
          <w:rFonts w:ascii="Times New Roman" w:hAnsi="Times New Roman" w:cs="Times New Roman"/>
          <w:sz w:val="24"/>
          <w:szCs w:val="24"/>
        </w:rPr>
        <w:t>The Department did respond, in October 2017, with a Rule Proposal amending N.J.A.C. 12:17-2.1 and repealing N.J.A.C. 12:17-10.2 through 10.8.</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Citing the Court’s opinion in </w:t>
      </w:r>
      <w:r>
        <w:rPr>
          <w:rFonts w:ascii="Times New Roman" w:hAnsi="Times New Roman" w:cs="Times New Roman"/>
          <w:i/>
          <w:iCs/>
          <w:sz w:val="24"/>
          <w:szCs w:val="24"/>
        </w:rPr>
        <w:t>In Re N.J.A.C. 12:17-2.1</w:t>
      </w:r>
      <w:r>
        <w:rPr>
          <w:rFonts w:ascii="Times New Roman" w:hAnsi="Times New Roman" w:cs="Times New Roman"/>
          <w:sz w:val="24"/>
          <w:szCs w:val="24"/>
        </w:rPr>
        <w:t>, the Department proposed modifications to the definition of “simple misconduct,” “malicious,” and “severe misconduct.”</w:t>
      </w:r>
      <w:r>
        <w:rPr>
          <w:rStyle w:val="FootnoteReference"/>
          <w:rFonts w:ascii="Times New Roman" w:hAnsi="Times New Roman" w:cs="Times New Roman"/>
          <w:sz w:val="24"/>
          <w:szCs w:val="24"/>
        </w:rPr>
        <w:footnoteReference w:id="31"/>
      </w:r>
      <w:r w:rsidR="003815CA">
        <w:rPr>
          <w:rFonts w:ascii="Times New Roman" w:hAnsi="Times New Roman" w:cs="Times New Roman"/>
          <w:sz w:val="24"/>
          <w:szCs w:val="24"/>
        </w:rPr>
        <w:t xml:space="preserve"> The Rule Proposal also cited </w:t>
      </w:r>
      <w:r w:rsidR="003815CA">
        <w:rPr>
          <w:rFonts w:ascii="Times New Roman" w:hAnsi="Times New Roman" w:cs="Times New Roman"/>
          <w:i/>
          <w:iCs/>
          <w:sz w:val="24"/>
          <w:szCs w:val="24"/>
        </w:rPr>
        <w:t>Silver</w:t>
      </w:r>
      <w:r w:rsidR="003815CA">
        <w:rPr>
          <w:rFonts w:ascii="Times New Roman" w:hAnsi="Times New Roman" w:cs="Times New Roman"/>
          <w:sz w:val="24"/>
          <w:szCs w:val="24"/>
        </w:rPr>
        <w:t xml:space="preserve"> in </w:t>
      </w:r>
      <w:r w:rsidR="003815CA">
        <w:rPr>
          <w:rFonts w:ascii="Times New Roman" w:hAnsi="Times New Roman" w:cs="Times New Roman"/>
          <w:sz w:val="24"/>
          <w:szCs w:val="24"/>
        </w:rPr>
        <w:lastRenderedPageBreak/>
        <w:t>noting that an act must first qualify as “simple misconduct” before it can be considered “severe misconduct.”</w:t>
      </w:r>
      <w:r w:rsidR="003815CA">
        <w:rPr>
          <w:rStyle w:val="FootnoteReference"/>
          <w:rFonts w:ascii="Times New Roman" w:hAnsi="Times New Roman" w:cs="Times New Roman"/>
          <w:sz w:val="24"/>
          <w:szCs w:val="24"/>
        </w:rPr>
        <w:footnoteReference w:id="32"/>
      </w:r>
    </w:p>
    <w:p w14:paraId="5F8274CE" w14:textId="77777777" w:rsidR="00C760B7" w:rsidRDefault="00C760B7" w:rsidP="00C760B7">
      <w:pPr>
        <w:spacing w:after="0"/>
        <w:ind w:firstLine="720"/>
        <w:jc w:val="both"/>
        <w:rPr>
          <w:rFonts w:ascii="Times New Roman" w:hAnsi="Times New Roman" w:cs="Times New Roman"/>
          <w:sz w:val="24"/>
          <w:szCs w:val="24"/>
        </w:rPr>
      </w:pPr>
    </w:p>
    <w:p w14:paraId="1351DCDD" w14:textId="54146C27" w:rsidR="003815CA" w:rsidRDefault="003815CA" w:rsidP="00C760B7">
      <w:pPr>
        <w:spacing w:after="0"/>
        <w:ind w:firstLine="720"/>
        <w:jc w:val="both"/>
        <w:rPr>
          <w:rFonts w:ascii="Times New Roman" w:hAnsi="Times New Roman" w:cs="Times New Roman"/>
          <w:sz w:val="24"/>
          <w:szCs w:val="24"/>
        </w:rPr>
      </w:pPr>
      <w:r>
        <w:rPr>
          <w:rFonts w:ascii="Times New Roman" w:hAnsi="Times New Roman" w:cs="Times New Roman"/>
          <w:sz w:val="24"/>
          <w:szCs w:val="24"/>
        </w:rPr>
        <w:t>The Legislature followed suit. In May 2018, bills were introduced in both the Assembly and the Senate which clarified “misconduct” and eliminated “severe misconduct.”</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The Statement noted that the lack of clear definitions for both “contributed to repeated court decisions.”</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The Assembly bill was substituted for the Senate bill, S2439, and was approved in August 2018; the definition of misconduct was modified as follows:</w:t>
      </w:r>
    </w:p>
    <w:p w14:paraId="2AC7DCAD" w14:textId="77777777" w:rsidR="00C760B7" w:rsidRDefault="00C760B7" w:rsidP="00C760B7">
      <w:pPr>
        <w:spacing w:after="0"/>
        <w:ind w:firstLine="720"/>
        <w:jc w:val="both"/>
        <w:rPr>
          <w:rFonts w:ascii="Times New Roman" w:hAnsi="Times New Roman" w:cs="Times New Roman"/>
          <w:sz w:val="24"/>
          <w:szCs w:val="24"/>
        </w:rPr>
      </w:pPr>
    </w:p>
    <w:p w14:paraId="171AE34D" w14:textId="53320FE3" w:rsidR="003815CA" w:rsidRPr="003815CA" w:rsidRDefault="003815CA" w:rsidP="00C760B7">
      <w:pPr>
        <w:spacing w:after="0"/>
        <w:ind w:left="720" w:right="720"/>
        <w:jc w:val="both"/>
        <w:rPr>
          <w:rFonts w:ascii="Times New Roman" w:hAnsi="Times New Roman" w:cs="Times New Roman"/>
          <w:sz w:val="24"/>
          <w:szCs w:val="24"/>
        </w:rPr>
      </w:pPr>
      <w:r>
        <w:rPr>
          <w:rFonts w:ascii="Times New Roman" w:hAnsi="Times New Roman" w:cs="Times New Roman"/>
          <w:sz w:val="24"/>
          <w:szCs w:val="24"/>
        </w:rPr>
        <w:t>“Misconduct” means conduct which is improper, intentional, connected with the individual’s work, within the individual’s control, not a good faith error of judgment or discretion, and is either a deliberate refusal, without good cause, to comply with the employer’s lawful and reasonable rules made known to the employee or a deliberate disregard of standards of behavior the employer has a reasonable right to expect, including reasonable safety standards and reasonable standards for a workplace free of drug and substance abuse.</w:t>
      </w:r>
      <w:r>
        <w:rPr>
          <w:rStyle w:val="FootnoteReference"/>
          <w:rFonts w:ascii="Times New Roman" w:hAnsi="Times New Roman" w:cs="Times New Roman"/>
          <w:sz w:val="24"/>
          <w:szCs w:val="24"/>
        </w:rPr>
        <w:footnoteReference w:id="35"/>
      </w:r>
    </w:p>
    <w:p w14:paraId="549D26C2" w14:textId="2BE4C0E9" w:rsidR="003815CA" w:rsidRDefault="003815CA" w:rsidP="00C760B7">
      <w:pPr>
        <w:spacing w:after="0"/>
        <w:jc w:val="both"/>
        <w:rPr>
          <w:rFonts w:ascii="Times New Roman" w:hAnsi="Times New Roman" w:cs="Times New Roman"/>
          <w:sz w:val="24"/>
          <w:szCs w:val="24"/>
        </w:rPr>
      </w:pPr>
    </w:p>
    <w:p w14:paraId="01C97BB9" w14:textId="5F63A161" w:rsidR="003815CA" w:rsidRDefault="003815CA" w:rsidP="00C760B7">
      <w:pPr>
        <w:spacing w:after="0"/>
        <w:jc w:val="center"/>
        <w:rPr>
          <w:rFonts w:ascii="Times New Roman" w:hAnsi="Times New Roman" w:cs="Times New Roman"/>
          <w:b/>
          <w:bCs/>
          <w:sz w:val="24"/>
          <w:szCs w:val="24"/>
        </w:rPr>
      </w:pPr>
      <w:r>
        <w:rPr>
          <w:rFonts w:ascii="Times New Roman" w:hAnsi="Times New Roman" w:cs="Times New Roman"/>
          <w:b/>
          <w:bCs/>
          <w:sz w:val="24"/>
          <w:szCs w:val="24"/>
        </w:rPr>
        <w:t>Conclusion</w:t>
      </w:r>
    </w:p>
    <w:p w14:paraId="2FDC4E13" w14:textId="77777777" w:rsidR="00C760B7" w:rsidRDefault="00C760B7" w:rsidP="00C760B7">
      <w:pPr>
        <w:spacing w:after="0"/>
        <w:jc w:val="center"/>
        <w:rPr>
          <w:rFonts w:ascii="Times New Roman" w:hAnsi="Times New Roman" w:cs="Times New Roman"/>
          <w:sz w:val="24"/>
          <w:szCs w:val="24"/>
        </w:rPr>
      </w:pPr>
    </w:p>
    <w:p w14:paraId="0C32FC07" w14:textId="5A2E8095" w:rsidR="003815CA" w:rsidRPr="003815CA" w:rsidRDefault="003815CA" w:rsidP="00C760B7">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The Commission has long viewed one of its responsibilities as bringing matters to the attention of the Legislature. </w:t>
      </w:r>
      <w:r w:rsidR="00C760B7">
        <w:rPr>
          <w:rFonts w:ascii="Times New Roman" w:hAnsi="Times New Roman" w:cs="Times New Roman"/>
          <w:sz w:val="24"/>
          <w:szCs w:val="24"/>
        </w:rPr>
        <w:t>Since</w:t>
      </w:r>
      <w:r>
        <w:rPr>
          <w:rFonts w:ascii="Times New Roman" w:hAnsi="Times New Roman" w:cs="Times New Roman"/>
          <w:sz w:val="24"/>
          <w:szCs w:val="24"/>
        </w:rPr>
        <w:t xml:space="preserve"> the Legislature has acted to address the issue that gave rise to this project, </w:t>
      </w:r>
      <w:r w:rsidR="00A859CF">
        <w:rPr>
          <w:rFonts w:ascii="Times New Roman" w:hAnsi="Times New Roman" w:cs="Times New Roman"/>
          <w:sz w:val="24"/>
          <w:szCs w:val="24"/>
        </w:rPr>
        <w:t xml:space="preserve">by way of this Report, </w:t>
      </w:r>
      <w:r>
        <w:rPr>
          <w:rFonts w:ascii="Times New Roman" w:hAnsi="Times New Roman" w:cs="Times New Roman"/>
          <w:sz w:val="24"/>
          <w:szCs w:val="24"/>
        </w:rPr>
        <w:t xml:space="preserve">the Commission </w:t>
      </w:r>
      <w:r w:rsidR="00A859CF">
        <w:rPr>
          <w:rFonts w:ascii="Times New Roman" w:hAnsi="Times New Roman" w:cs="Times New Roman"/>
          <w:sz w:val="24"/>
          <w:szCs w:val="24"/>
        </w:rPr>
        <w:t>formally concludes its work in this area.</w:t>
      </w:r>
    </w:p>
    <w:p w14:paraId="0E832B53" w14:textId="77777777" w:rsidR="00202257" w:rsidRDefault="00202257" w:rsidP="00C760B7">
      <w:pPr>
        <w:spacing w:after="0"/>
        <w:jc w:val="both"/>
        <w:rPr>
          <w:rFonts w:ascii="Times New Roman" w:hAnsi="Times New Roman" w:cs="Times New Roman"/>
          <w:sz w:val="24"/>
          <w:szCs w:val="24"/>
        </w:rPr>
      </w:pPr>
      <w:bookmarkStart w:id="1" w:name="_GoBack"/>
      <w:bookmarkEnd w:id="1"/>
    </w:p>
    <w:p w14:paraId="0526D40B" w14:textId="77777777" w:rsidR="00202257" w:rsidRDefault="00202257">
      <w:pPr>
        <w:rPr>
          <w:rFonts w:ascii="Times New Roman" w:hAnsi="Times New Roman" w:cs="Times New Roman"/>
          <w:sz w:val="24"/>
          <w:szCs w:val="24"/>
        </w:rPr>
      </w:pPr>
    </w:p>
    <w:p w14:paraId="33FA54E3" w14:textId="77777777" w:rsidR="00AB0AC8" w:rsidRDefault="00AB0AC8">
      <w:pPr>
        <w:rPr>
          <w:rFonts w:ascii="Times New Roman" w:hAnsi="Times New Roman" w:cs="Times New Roman"/>
          <w:sz w:val="24"/>
          <w:szCs w:val="24"/>
        </w:rPr>
      </w:pPr>
    </w:p>
    <w:p w14:paraId="017EA3E5" w14:textId="5B394029" w:rsidR="00BE47F3" w:rsidRPr="0004534C" w:rsidRDefault="00262993">
      <w:pPr>
        <w:rPr>
          <w:rFonts w:ascii="Times New Roman" w:hAnsi="Times New Roman" w:cs="Times New Roman"/>
          <w:sz w:val="24"/>
          <w:szCs w:val="24"/>
        </w:rPr>
      </w:pPr>
      <w:r>
        <w:rPr>
          <w:rFonts w:ascii="Times New Roman" w:hAnsi="Times New Roman" w:cs="Times New Roman"/>
          <w:sz w:val="24"/>
          <w:szCs w:val="24"/>
        </w:rPr>
        <w:t xml:space="preserve"> </w:t>
      </w:r>
    </w:p>
    <w:sectPr w:rsidR="00BE47F3" w:rsidRPr="0004534C" w:rsidSect="001855A2">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27F0E" w14:textId="77777777" w:rsidR="00FD100C" w:rsidRDefault="00FD100C" w:rsidP="0061017A">
      <w:pPr>
        <w:spacing w:after="0" w:line="240" w:lineRule="auto"/>
      </w:pPr>
      <w:r>
        <w:separator/>
      </w:r>
    </w:p>
  </w:endnote>
  <w:endnote w:type="continuationSeparator" w:id="0">
    <w:p w14:paraId="2CDA064A" w14:textId="77777777" w:rsidR="00FD100C" w:rsidRDefault="00FD100C" w:rsidP="00610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E05B9" w14:textId="0EE3C20F" w:rsidR="001855A2" w:rsidRPr="001855A2" w:rsidRDefault="007B2923" w:rsidP="007B2923">
    <w:pPr>
      <w:pStyle w:val="Footer"/>
      <w:jc w:val="center"/>
      <w:rPr>
        <w:rFonts w:ascii="Times New Roman" w:hAnsi="Times New Roman" w:cs="Times New Roman"/>
        <w:sz w:val="20"/>
        <w:szCs w:val="20"/>
      </w:rPr>
    </w:pPr>
    <w:r w:rsidRPr="001855A2">
      <w:rPr>
        <w:rFonts w:ascii="Times New Roman" w:hAnsi="Times New Roman" w:cs="Times New Roman"/>
        <w:sz w:val="20"/>
        <w:szCs w:val="20"/>
      </w:rPr>
      <w:t>Misconduct and the Unemployment Compensation Act</w:t>
    </w:r>
    <w:r w:rsidRPr="007B2923">
      <w:rPr>
        <w:rFonts w:ascii="Times New Roman" w:hAnsi="Times New Roman" w:cs="Times New Roman"/>
        <w:sz w:val="20"/>
        <w:szCs w:val="20"/>
      </w:rPr>
      <w:t xml:space="preserve"> – Draft Final Report – June 10, 2019 – Page </w:t>
    </w:r>
    <w:r w:rsidRPr="007B2923">
      <w:rPr>
        <w:rFonts w:ascii="Times New Roman" w:hAnsi="Times New Roman" w:cs="Times New Roman"/>
        <w:sz w:val="20"/>
        <w:szCs w:val="20"/>
      </w:rPr>
      <w:fldChar w:fldCharType="begin"/>
    </w:r>
    <w:r w:rsidRPr="007B2923">
      <w:rPr>
        <w:rFonts w:ascii="Times New Roman" w:hAnsi="Times New Roman" w:cs="Times New Roman"/>
        <w:sz w:val="20"/>
        <w:szCs w:val="20"/>
      </w:rPr>
      <w:instrText xml:space="preserve"> PAGE   \* MERGEFORMAT </w:instrText>
    </w:r>
    <w:r w:rsidRPr="007B2923">
      <w:rPr>
        <w:rFonts w:ascii="Times New Roman" w:hAnsi="Times New Roman" w:cs="Times New Roman"/>
        <w:sz w:val="20"/>
        <w:szCs w:val="20"/>
      </w:rPr>
      <w:fldChar w:fldCharType="separate"/>
    </w:r>
    <w:r>
      <w:rPr>
        <w:rFonts w:ascii="Times New Roman" w:hAnsi="Times New Roman" w:cs="Times New Roman"/>
        <w:noProof/>
        <w:sz w:val="20"/>
        <w:szCs w:val="20"/>
      </w:rPr>
      <w:t>5</w:t>
    </w:r>
    <w:r w:rsidRPr="007B2923">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26AC3" w14:textId="77777777" w:rsidR="00FD100C" w:rsidRDefault="00FD100C" w:rsidP="0061017A">
      <w:pPr>
        <w:spacing w:after="0" w:line="240" w:lineRule="auto"/>
      </w:pPr>
      <w:r>
        <w:separator/>
      </w:r>
    </w:p>
  </w:footnote>
  <w:footnote w:type="continuationSeparator" w:id="0">
    <w:p w14:paraId="143236E9" w14:textId="77777777" w:rsidR="00FD100C" w:rsidRDefault="00FD100C" w:rsidP="0061017A">
      <w:pPr>
        <w:spacing w:after="0" w:line="240" w:lineRule="auto"/>
      </w:pPr>
      <w:r>
        <w:continuationSeparator/>
      </w:r>
    </w:p>
  </w:footnote>
  <w:footnote w:id="1">
    <w:p w14:paraId="1898BC9C" w14:textId="126CC422" w:rsidR="0061017A" w:rsidRPr="0061017A" w:rsidRDefault="0061017A">
      <w:pPr>
        <w:pStyle w:val="FootnoteText"/>
        <w:rPr>
          <w:rFonts w:ascii="Times New Roman" w:hAnsi="Times New Roman" w:cs="Times New Roman"/>
        </w:rPr>
      </w:pPr>
      <w:r w:rsidRPr="0061017A">
        <w:rPr>
          <w:rStyle w:val="FootnoteReference"/>
          <w:rFonts w:ascii="Times New Roman" w:hAnsi="Times New Roman" w:cs="Times New Roman"/>
        </w:rPr>
        <w:footnoteRef/>
      </w:r>
      <w:r w:rsidRPr="0061017A">
        <w:rPr>
          <w:rFonts w:ascii="Times New Roman" w:hAnsi="Times New Roman" w:cs="Times New Roman"/>
        </w:rPr>
        <w:t xml:space="preserve"> N.J.S. 43:21-2. Declaration of state public policy</w:t>
      </w:r>
    </w:p>
  </w:footnote>
  <w:footnote w:id="2">
    <w:p w14:paraId="4F9757BE" w14:textId="16D66578" w:rsidR="0062444B" w:rsidRPr="0062444B" w:rsidRDefault="0062444B">
      <w:pPr>
        <w:pStyle w:val="FootnoteText"/>
        <w:rPr>
          <w:rFonts w:ascii="Times New Roman" w:hAnsi="Times New Roman" w:cs="Times New Roman"/>
        </w:rPr>
      </w:pPr>
      <w:r w:rsidRPr="0062444B">
        <w:rPr>
          <w:rStyle w:val="FootnoteReference"/>
          <w:rFonts w:ascii="Times New Roman" w:hAnsi="Times New Roman" w:cs="Times New Roman"/>
        </w:rPr>
        <w:footnoteRef/>
      </w:r>
      <w:r w:rsidRPr="0062444B">
        <w:rPr>
          <w:rFonts w:ascii="Times New Roman" w:hAnsi="Times New Roman" w:cs="Times New Roman"/>
        </w:rPr>
        <w:t xml:space="preserve"> N.J.S. 43:21-5(b)</w:t>
      </w:r>
    </w:p>
  </w:footnote>
  <w:footnote w:id="3">
    <w:p w14:paraId="22F970DD" w14:textId="347DD67E" w:rsidR="00701200" w:rsidRPr="00701200" w:rsidRDefault="00701200">
      <w:pPr>
        <w:pStyle w:val="FootnoteText"/>
        <w:rPr>
          <w:rFonts w:ascii="Times New Roman" w:hAnsi="Times New Roman" w:cs="Times New Roman"/>
        </w:rPr>
      </w:pPr>
      <w:r w:rsidRPr="00701200">
        <w:rPr>
          <w:rStyle w:val="FootnoteReference"/>
          <w:rFonts w:ascii="Times New Roman" w:hAnsi="Times New Roman" w:cs="Times New Roman"/>
        </w:rPr>
        <w:footnoteRef/>
      </w:r>
      <w:r w:rsidRPr="00701200">
        <w:rPr>
          <w:rFonts w:ascii="Times New Roman" w:hAnsi="Times New Roman" w:cs="Times New Roman"/>
        </w:rPr>
        <w:t xml:space="preserve"> </w:t>
      </w:r>
      <w:r w:rsidRPr="00701200">
        <w:rPr>
          <w:rFonts w:ascii="Times New Roman" w:hAnsi="Times New Roman" w:cs="Times New Roman"/>
          <w:i/>
          <w:iCs/>
        </w:rPr>
        <w:t>Id.</w:t>
      </w:r>
    </w:p>
  </w:footnote>
  <w:footnote w:id="4">
    <w:p w14:paraId="62C017C4" w14:textId="6FF0F378" w:rsidR="0062444B" w:rsidRPr="000D4EC5" w:rsidRDefault="0062444B">
      <w:pPr>
        <w:pStyle w:val="FootnoteText"/>
        <w:rPr>
          <w:rFonts w:ascii="Times New Roman" w:hAnsi="Times New Roman" w:cs="Times New Roman"/>
        </w:rPr>
      </w:pPr>
      <w:r w:rsidRPr="000D4EC5">
        <w:rPr>
          <w:rStyle w:val="FootnoteReference"/>
          <w:rFonts w:ascii="Times New Roman" w:hAnsi="Times New Roman" w:cs="Times New Roman"/>
        </w:rPr>
        <w:footnoteRef/>
      </w:r>
      <w:r w:rsidRPr="000D4EC5">
        <w:rPr>
          <w:rFonts w:ascii="Times New Roman" w:hAnsi="Times New Roman" w:cs="Times New Roman"/>
        </w:rPr>
        <w:t xml:space="preserve"> </w:t>
      </w:r>
      <w:r w:rsidRPr="000D4EC5">
        <w:rPr>
          <w:rFonts w:ascii="Times New Roman" w:hAnsi="Times New Roman" w:cs="Times New Roman"/>
          <w:i/>
        </w:rPr>
        <w:t>Id.</w:t>
      </w:r>
    </w:p>
  </w:footnote>
  <w:footnote w:id="5">
    <w:p w14:paraId="4D42EF30" w14:textId="77777777" w:rsidR="006F0996" w:rsidRPr="00E2217F" w:rsidRDefault="006F0996" w:rsidP="006F0996">
      <w:pPr>
        <w:pStyle w:val="FootnoteText"/>
        <w:rPr>
          <w:rFonts w:ascii="Times New Roman" w:hAnsi="Times New Roman" w:cs="Times New Roman"/>
        </w:rPr>
      </w:pPr>
      <w:r w:rsidRPr="00E2217F">
        <w:rPr>
          <w:rStyle w:val="FootnoteReference"/>
          <w:rFonts w:ascii="Times New Roman" w:hAnsi="Times New Roman" w:cs="Times New Roman"/>
        </w:rPr>
        <w:footnoteRef/>
      </w:r>
      <w:r w:rsidRPr="00E2217F">
        <w:rPr>
          <w:rFonts w:ascii="Times New Roman" w:hAnsi="Times New Roman" w:cs="Times New Roman"/>
        </w:rPr>
        <w:t xml:space="preserve"> </w:t>
      </w:r>
      <w:r w:rsidRPr="00E2217F">
        <w:rPr>
          <w:rFonts w:ascii="Times New Roman" w:hAnsi="Times New Roman" w:cs="Times New Roman"/>
          <w:i/>
        </w:rPr>
        <w:t>Id.</w:t>
      </w:r>
      <w:r w:rsidRPr="00E2217F">
        <w:rPr>
          <w:rFonts w:ascii="Times New Roman" w:hAnsi="Times New Roman" w:cs="Times New Roman"/>
        </w:rPr>
        <w:t xml:space="preserve"> at 157, quoting </w:t>
      </w:r>
      <w:r w:rsidRPr="00E2217F">
        <w:rPr>
          <w:rFonts w:ascii="Times New Roman" w:hAnsi="Times New Roman" w:cs="Times New Roman"/>
          <w:i/>
        </w:rPr>
        <w:t>Silver v. Board of Review</w:t>
      </w:r>
      <w:r w:rsidRPr="00E2217F">
        <w:rPr>
          <w:rFonts w:ascii="Times New Roman" w:hAnsi="Times New Roman" w:cs="Times New Roman"/>
        </w:rPr>
        <w:t>, 430 N.J. Super. 44 (App. Div. 2013)</w:t>
      </w:r>
    </w:p>
  </w:footnote>
  <w:footnote w:id="6">
    <w:p w14:paraId="1BDEED31" w14:textId="77777777" w:rsidR="006F0996" w:rsidRPr="00E2217F" w:rsidRDefault="006F0996" w:rsidP="006F0996">
      <w:pPr>
        <w:pStyle w:val="FootnoteText"/>
        <w:rPr>
          <w:rFonts w:ascii="Times New Roman" w:hAnsi="Times New Roman" w:cs="Times New Roman"/>
        </w:rPr>
      </w:pPr>
      <w:r w:rsidRPr="00E2217F">
        <w:rPr>
          <w:rStyle w:val="FootnoteReference"/>
          <w:rFonts w:ascii="Times New Roman" w:hAnsi="Times New Roman" w:cs="Times New Roman"/>
        </w:rPr>
        <w:footnoteRef/>
      </w:r>
      <w:r w:rsidRPr="00E2217F">
        <w:rPr>
          <w:rFonts w:ascii="Times New Roman" w:hAnsi="Times New Roman" w:cs="Times New Roman"/>
        </w:rPr>
        <w:t xml:space="preserve"> </w:t>
      </w:r>
      <w:r w:rsidRPr="00E2217F">
        <w:rPr>
          <w:rFonts w:ascii="Times New Roman" w:hAnsi="Times New Roman" w:cs="Times New Roman"/>
          <w:i/>
        </w:rPr>
        <w:t>Id.</w:t>
      </w:r>
      <w:r w:rsidRPr="00E2217F">
        <w:rPr>
          <w:rFonts w:ascii="Times New Roman" w:hAnsi="Times New Roman" w:cs="Times New Roman"/>
        </w:rPr>
        <w:t xml:space="preserve"> at 158-59 (internal quotes omitted)</w:t>
      </w:r>
    </w:p>
  </w:footnote>
  <w:footnote w:id="7">
    <w:p w14:paraId="523E21BA" w14:textId="77777777" w:rsidR="006F0996" w:rsidRPr="00800C8C" w:rsidRDefault="006F0996" w:rsidP="006F0996">
      <w:pPr>
        <w:pStyle w:val="FootnoteText"/>
        <w:rPr>
          <w:rFonts w:ascii="Times New Roman" w:hAnsi="Times New Roman" w:cs="Times New Roman"/>
        </w:rPr>
      </w:pPr>
      <w:r w:rsidRPr="00800C8C">
        <w:rPr>
          <w:rStyle w:val="FootnoteReference"/>
          <w:rFonts w:ascii="Times New Roman" w:hAnsi="Times New Roman" w:cs="Times New Roman"/>
        </w:rPr>
        <w:footnoteRef/>
      </w:r>
      <w:r w:rsidRPr="00800C8C">
        <w:rPr>
          <w:rFonts w:ascii="Times New Roman" w:hAnsi="Times New Roman" w:cs="Times New Roman"/>
        </w:rPr>
        <w:t xml:space="preserve"> </w:t>
      </w:r>
      <w:r w:rsidRPr="00800C8C">
        <w:rPr>
          <w:rFonts w:ascii="Times New Roman" w:hAnsi="Times New Roman" w:cs="Times New Roman"/>
          <w:i/>
        </w:rPr>
        <w:t xml:space="preserve">Id. </w:t>
      </w:r>
      <w:r w:rsidRPr="003815CA">
        <w:rPr>
          <w:rFonts w:ascii="Times New Roman" w:hAnsi="Times New Roman" w:cs="Times New Roman"/>
          <w:iCs/>
        </w:rPr>
        <w:t>at 159</w:t>
      </w:r>
      <w:r w:rsidRPr="00800C8C">
        <w:rPr>
          <w:rFonts w:ascii="Times New Roman" w:hAnsi="Times New Roman" w:cs="Times New Roman"/>
        </w:rPr>
        <w:t xml:space="preserve"> (internal quotes omitted)</w:t>
      </w:r>
    </w:p>
  </w:footnote>
  <w:footnote w:id="8">
    <w:p w14:paraId="34A0CDDD" w14:textId="77777777" w:rsidR="006F0996" w:rsidRPr="00A21CDB" w:rsidRDefault="006F0996" w:rsidP="006F0996">
      <w:pPr>
        <w:pStyle w:val="FootnoteText"/>
        <w:rPr>
          <w:rFonts w:ascii="Times New Roman" w:hAnsi="Times New Roman"/>
        </w:rPr>
      </w:pPr>
      <w:r w:rsidRPr="00A21CDB">
        <w:rPr>
          <w:rStyle w:val="FootnoteReference"/>
          <w:rFonts w:ascii="Times New Roman" w:hAnsi="Times New Roman"/>
        </w:rPr>
        <w:footnoteRef/>
      </w:r>
      <w:r w:rsidRPr="00A21CDB">
        <w:rPr>
          <w:rFonts w:ascii="Times New Roman" w:hAnsi="Times New Roman"/>
        </w:rPr>
        <w:t xml:space="preserve"> </w:t>
      </w:r>
      <w:r w:rsidRPr="00A21CDB">
        <w:rPr>
          <w:rFonts w:ascii="Times New Roman" w:hAnsi="Times New Roman"/>
          <w:i/>
        </w:rPr>
        <w:t>See</w:t>
      </w:r>
      <w:r w:rsidRPr="00A21CDB">
        <w:rPr>
          <w:rFonts w:ascii="Times New Roman" w:hAnsi="Times New Roman"/>
        </w:rPr>
        <w:t xml:space="preserve"> </w:t>
      </w:r>
      <w:proofErr w:type="spellStart"/>
      <w:r w:rsidRPr="00A21CDB">
        <w:rPr>
          <w:rFonts w:ascii="Times New Roman" w:hAnsi="Times New Roman"/>
          <w:i/>
        </w:rPr>
        <w:t>Beaunit</w:t>
      </w:r>
      <w:proofErr w:type="spellEnd"/>
      <w:r w:rsidRPr="00A21CDB">
        <w:rPr>
          <w:rFonts w:ascii="Times New Roman" w:hAnsi="Times New Roman"/>
          <w:i/>
        </w:rPr>
        <w:t xml:space="preserve"> Mills, Inc. v. Bd. Of Review</w:t>
      </w:r>
      <w:r w:rsidRPr="00A21CDB">
        <w:rPr>
          <w:rFonts w:ascii="Times New Roman" w:hAnsi="Times New Roman"/>
        </w:rPr>
        <w:t xml:space="preserve">, 43 N.J. Super. 172, 176-80 (App. Div. 1956); </w:t>
      </w:r>
      <w:r w:rsidRPr="00A21CDB">
        <w:rPr>
          <w:rFonts w:ascii="Times New Roman" w:hAnsi="Times New Roman"/>
          <w:i/>
        </w:rPr>
        <w:t>see also</w:t>
      </w:r>
      <w:r w:rsidRPr="00A21CDB">
        <w:rPr>
          <w:rFonts w:ascii="Times New Roman" w:hAnsi="Times New Roman"/>
        </w:rPr>
        <w:t xml:space="preserve"> </w:t>
      </w:r>
      <w:r w:rsidRPr="00A21CDB">
        <w:rPr>
          <w:rFonts w:ascii="Times New Roman" w:hAnsi="Times New Roman"/>
          <w:i/>
        </w:rPr>
        <w:t>Parks v. Board of Review</w:t>
      </w:r>
      <w:r w:rsidRPr="00A21CDB">
        <w:rPr>
          <w:rFonts w:ascii="Times New Roman" w:hAnsi="Times New Roman"/>
        </w:rPr>
        <w:t xml:space="preserve">, 405 N.J. Super. 252 (App. Div. 2009) </w:t>
      </w:r>
    </w:p>
  </w:footnote>
  <w:footnote w:id="9">
    <w:p w14:paraId="1902C425" w14:textId="11596DBC" w:rsidR="000736C9" w:rsidRPr="000736C9" w:rsidRDefault="000736C9" w:rsidP="000736C9">
      <w:pPr>
        <w:pStyle w:val="FootnoteText"/>
        <w:rPr>
          <w:rFonts w:ascii="Times New Roman" w:hAnsi="Times New Roman" w:cs="Times New Roman"/>
        </w:rPr>
      </w:pPr>
      <w:r w:rsidRPr="000736C9">
        <w:rPr>
          <w:rStyle w:val="FootnoteReference"/>
          <w:rFonts w:ascii="Times New Roman" w:hAnsi="Times New Roman" w:cs="Times New Roman"/>
        </w:rPr>
        <w:footnoteRef/>
      </w:r>
      <w:r w:rsidRPr="000736C9">
        <w:rPr>
          <w:rFonts w:ascii="Times New Roman" w:hAnsi="Times New Roman" w:cs="Times New Roman"/>
        </w:rPr>
        <w:t xml:space="preserve"> </w:t>
      </w:r>
      <w:r w:rsidR="00831AC3">
        <w:rPr>
          <w:rFonts w:ascii="Times New Roman" w:hAnsi="Times New Roman" w:cs="Times New Roman"/>
        </w:rPr>
        <w:t>35 N.J.R. 2874(b)</w:t>
      </w:r>
    </w:p>
  </w:footnote>
  <w:footnote w:id="10">
    <w:p w14:paraId="1BE4B170" w14:textId="74460267" w:rsidR="000736C9" w:rsidRPr="000736C9" w:rsidRDefault="000736C9">
      <w:pPr>
        <w:pStyle w:val="FootnoteText"/>
        <w:rPr>
          <w:rFonts w:ascii="Times New Roman" w:hAnsi="Times New Roman" w:cs="Times New Roman"/>
        </w:rPr>
      </w:pPr>
      <w:r w:rsidRPr="000736C9">
        <w:rPr>
          <w:rStyle w:val="FootnoteReference"/>
          <w:rFonts w:ascii="Times New Roman" w:hAnsi="Times New Roman" w:cs="Times New Roman"/>
        </w:rPr>
        <w:footnoteRef/>
      </w:r>
      <w:r w:rsidRPr="000736C9">
        <w:rPr>
          <w:rFonts w:ascii="Times New Roman" w:hAnsi="Times New Roman" w:cs="Times New Roman"/>
        </w:rPr>
        <w:t xml:space="preserve"> </w:t>
      </w:r>
      <w:r w:rsidRPr="000736C9">
        <w:rPr>
          <w:rFonts w:ascii="Times New Roman" w:hAnsi="Times New Roman" w:cs="Times New Roman"/>
          <w:i/>
        </w:rPr>
        <w:t>Silver</w:t>
      </w:r>
      <w:r w:rsidRPr="000736C9">
        <w:rPr>
          <w:rFonts w:ascii="Times New Roman" w:hAnsi="Times New Roman" w:cs="Times New Roman"/>
        </w:rPr>
        <w:t xml:space="preserve">, </w:t>
      </w:r>
      <w:r w:rsidRPr="000736C9">
        <w:rPr>
          <w:rFonts w:ascii="Times New Roman" w:hAnsi="Times New Roman" w:cs="Times New Roman"/>
          <w:i/>
        </w:rPr>
        <w:t>supra</w:t>
      </w:r>
      <w:r w:rsidRPr="000736C9">
        <w:rPr>
          <w:rFonts w:ascii="Times New Roman" w:hAnsi="Times New Roman" w:cs="Times New Roman"/>
        </w:rPr>
        <w:t>, 430 N.J. Super.</w:t>
      </w:r>
      <w:r w:rsidR="00196359">
        <w:rPr>
          <w:rFonts w:ascii="Times New Roman" w:hAnsi="Times New Roman" w:cs="Times New Roman"/>
        </w:rPr>
        <w:t xml:space="preserve"> at</w:t>
      </w:r>
      <w:r w:rsidRPr="000736C9">
        <w:rPr>
          <w:rFonts w:ascii="Times New Roman" w:hAnsi="Times New Roman" w:cs="Times New Roman"/>
        </w:rPr>
        <w:t xml:space="preserve"> 52</w:t>
      </w:r>
    </w:p>
  </w:footnote>
  <w:footnote w:id="11">
    <w:p w14:paraId="3D081F47" w14:textId="5CCF4891" w:rsidR="00831AC3" w:rsidRPr="00831AC3" w:rsidRDefault="00831AC3">
      <w:pPr>
        <w:pStyle w:val="FootnoteText"/>
        <w:rPr>
          <w:rFonts w:ascii="Times New Roman" w:hAnsi="Times New Roman" w:cs="Times New Roman"/>
        </w:rPr>
      </w:pPr>
      <w:r w:rsidRPr="00831AC3">
        <w:rPr>
          <w:rStyle w:val="FootnoteReference"/>
          <w:rFonts w:ascii="Times New Roman" w:hAnsi="Times New Roman" w:cs="Times New Roman"/>
        </w:rPr>
        <w:footnoteRef/>
      </w:r>
      <w:r w:rsidRPr="00831AC3">
        <w:rPr>
          <w:rFonts w:ascii="Times New Roman" w:hAnsi="Times New Roman" w:cs="Times New Roman"/>
        </w:rPr>
        <w:t xml:space="preserve"> Statement to S1813</w:t>
      </w:r>
      <w:r>
        <w:rPr>
          <w:rFonts w:ascii="Times New Roman" w:hAnsi="Times New Roman" w:cs="Times New Roman"/>
        </w:rPr>
        <w:t xml:space="preserve">, </w:t>
      </w:r>
      <w:r>
        <w:rPr>
          <w:rFonts w:ascii="Times New Roman" w:hAnsi="Times New Roman" w:cs="Times New Roman"/>
          <w:i/>
          <w:iCs/>
        </w:rPr>
        <w:t xml:space="preserve">P.L. </w:t>
      </w:r>
      <w:r>
        <w:rPr>
          <w:rFonts w:ascii="Times New Roman" w:hAnsi="Times New Roman" w:cs="Times New Roman"/>
        </w:rPr>
        <w:t xml:space="preserve">2010, </w:t>
      </w:r>
      <w:r>
        <w:rPr>
          <w:rFonts w:ascii="Times New Roman" w:hAnsi="Times New Roman" w:cs="Times New Roman"/>
          <w:i/>
          <w:iCs/>
        </w:rPr>
        <w:t>c.</w:t>
      </w:r>
      <w:r>
        <w:rPr>
          <w:rFonts w:ascii="Times New Roman" w:hAnsi="Times New Roman" w:cs="Times New Roman"/>
        </w:rPr>
        <w:t xml:space="preserve"> 37</w:t>
      </w:r>
    </w:p>
  </w:footnote>
  <w:footnote w:id="12">
    <w:p w14:paraId="53B7AC02" w14:textId="36A1B580" w:rsidR="001B09C6" w:rsidRPr="003F2D38" w:rsidRDefault="001B09C6">
      <w:pPr>
        <w:pStyle w:val="FootnoteText"/>
      </w:pPr>
      <w:r>
        <w:rPr>
          <w:rStyle w:val="FootnoteReference"/>
        </w:rPr>
        <w:footnoteRef/>
      </w:r>
      <w:r>
        <w:t xml:space="preserve"> </w:t>
      </w:r>
      <w:hyperlink r:id="rId1" w:history="1">
        <w:r w:rsidR="003F2D38" w:rsidRPr="003F2D38">
          <w:rPr>
            <w:rStyle w:val="Hyperlink"/>
            <w:rFonts w:ascii="Times New Roman" w:hAnsi="Times New Roman" w:cs="Times New Roman"/>
            <w:color w:val="auto"/>
            <w:u w:val="none"/>
          </w:rPr>
          <w:t>G</w:t>
        </w:r>
      </w:hyperlink>
      <w:r w:rsidR="003F2D38">
        <w:rPr>
          <w:rFonts w:ascii="Times New Roman" w:hAnsi="Times New Roman" w:cs="Times New Roman"/>
        </w:rPr>
        <w:t xml:space="preserve">overnor’s Conditional Veto Message, S1813, </w:t>
      </w:r>
      <w:r w:rsidR="003F2D38">
        <w:rPr>
          <w:rFonts w:ascii="Times New Roman" w:hAnsi="Times New Roman" w:cs="Times New Roman"/>
          <w:i/>
        </w:rPr>
        <w:t>P.L.</w:t>
      </w:r>
      <w:r w:rsidR="003F2D38">
        <w:rPr>
          <w:rFonts w:ascii="Times New Roman" w:hAnsi="Times New Roman" w:cs="Times New Roman"/>
        </w:rPr>
        <w:t xml:space="preserve"> 2010, </w:t>
      </w:r>
      <w:r w:rsidR="003F2D38">
        <w:rPr>
          <w:rFonts w:ascii="Times New Roman" w:hAnsi="Times New Roman" w:cs="Times New Roman"/>
          <w:i/>
        </w:rPr>
        <w:t>c.</w:t>
      </w:r>
      <w:r w:rsidR="003F2D38">
        <w:rPr>
          <w:rFonts w:ascii="Times New Roman" w:hAnsi="Times New Roman" w:cs="Times New Roman"/>
        </w:rPr>
        <w:t xml:space="preserve"> 37</w:t>
      </w:r>
    </w:p>
  </w:footnote>
  <w:footnote w:id="13">
    <w:p w14:paraId="789D8DCC" w14:textId="02943898" w:rsidR="00E6098A" w:rsidRPr="00E6098A" w:rsidRDefault="00E6098A">
      <w:pPr>
        <w:pStyle w:val="FootnoteText"/>
        <w:rPr>
          <w:rFonts w:ascii="Times New Roman" w:hAnsi="Times New Roman" w:cs="Times New Roman"/>
        </w:rPr>
      </w:pPr>
      <w:r w:rsidRPr="00E6098A">
        <w:rPr>
          <w:rStyle w:val="FootnoteReference"/>
          <w:rFonts w:ascii="Times New Roman" w:hAnsi="Times New Roman" w:cs="Times New Roman"/>
        </w:rPr>
        <w:footnoteRef/>
      </w:r>
      <w:r w:rsidRPr="00E6098A">
        <w:rPr>
          <w:rFonts w:ascii="Times New Roman" w:hAnsi="Times New Roman" w:cs="Times New Roman"/>
        </w:rPr>
        <w:t xml:space="preserve"> N.J.S. 43:21-5(b)</w:t>
      </w:r>
    </w:p>
  </w:footnote>
  <w:footnote w:id="14">
    <w:p w14:paraId="41414DE0" w14:textId="580B1DF2" w:rsidR="00B05CC6" w:rsidRPr="00E6098A" w:rsidRDefault="00B05CC6">
      <w:pPr>
        <w:pStyle w:val="FootnoteText"/>
        <w:rPr>
          <w:rFonts w:ascii="Times New Roman" w:hAnsi="Times New Roman" w:cs="Times New Roman"/>
          <w:iCs/>
        </w:rPr>
      </w:pPr>
      <w:r w:rsidRPr="00E2217F">
        <w:rPr>
          <w:rStyle w:val="FootnoteReference"/>
          <w:rFonts w:ascii="Times New Roman" w:hAnsi="Times New Roman" w:cs="Times New Roman"/>
        </w:rPr>
        <w:footnoteRef/>
      </w:r>
      <w:r w:rsidRPr="00E2217F">
        <w:rPr>
          <w:rFonts w:ascii="Times New Roman" w:hAnsi="Times New Roman" w:cs="Times New Roman"/>
        </w:rPr>
        <w:t xml:space="preserve"> </w:t>
      </w:r>
      <w:r w:rsidR="00E6098A">
        <w:rPr>
          <w:rFonts w:ascii="Times New Roman" w:hAnsi="Times New Roman" w:cs="Times New Roman"/>
          <w:i/>
        </w:rPr>
        <w:t>P.L.</w:t>
      </w:r>
      <w:r w:rsidR="00E6098A">
        <w:rPr>
          <w:rFonts w:ascii="Times New Roman" w:hAnsi="Times New Roman" w:cs="Times New Roman"/>
          <w:iCs/>
        </w:rPr>
        <w:t xml:space="preserve"> 2010, </w:t>
      </w:r>
      <w:r w:rsidR="00E6098A">
        <w:rPr>
          <w:rFonts w:ascii="Times New Roman" w:hAnsi="Times New Roman" w:cs="Times New Roman"/>
          <w:i/>
        </w:rPr>
        <w:t>c.</w:t>
      </w:r>
      <w:r w:rsidR="00E6098A">
        <w:rPr>
          <w:rFonts w:ascii="Times New Roman" w:hAnsi="Times New Roman" w:cs="Times New Roman"/>
          <w:iCs/>
        </w:rPr>
        <w:t xml:space="preserve"> 37</w:t>
      </w:r>
    </w:p>
  </w:footnote>
  <w:footnote w:id="15">
    <w:p w14:paraId="5FC57E42" w14:textId="37824445" w:rsidR="00196359" w:rsidRPr="00196359" w:rsidRDefault="00196359">
      <w:pPr>
        <w:pStyle w:val="FootnoteText"/>
        <w:rPr>
          <w:rFonts w:ascii="Times New Roman" w:hAnsi="Times New Roman" w:cs="Times New Roman"/>
        </w:rPr>
      </w:pPr>
      <w:r w:rsidRPr="00196359">
        <w:rPr>
          <w:rStyle w:val="FootnoteReference"/>
          <w:rFonts w:ascii="Times New Roman" w:hAnsi="Times New Roman" w:cs="Times New Roman"/>
        </w:rPr>
        <w:footnoteRef/>
      </w:r>
      <w:r w:rsidRPr="00196359">
        <w:rPr>
          <w:rFonts w:ascii="Times New Roman" w:hAnsi="Times New Roman" w:cs="Times New Roman"/>
        </w:rPr>
        <w:t xml:space="preserve"> </w:t>
      </w:r>
      <w:r w:rsidRPr="00196359">
        <w:rPr>
          <w:rFonts w:ascii="Times New Roman" w:hAnsi="Times New Roman" w:cs="Times New Roman"/>
          <w:i/>
          <w:iCs/>
        </w:rPr>
        <w:t>Silver</w:t>
      </w:r>
      <w:r w:rsidRPr="00196359">
        <w:rPr>
          <w:rFonts w:ascii="Times New Roman" w:hAnsi="Times New Roman" w:cs="Times New Roman"/>
        </w:rPr>
        <w:t>, 430 N.J. Super.</w:t>
      </w:r>
      <w:r>
        <w:rPr>
          <w:rFonts w:ascii="Times New Roman" w:hAnsi="Times New Roman" w:cs="Times New Roman"/>
        </w:rPr>
        <w:t xml:space="preserve"> at</w:t>
      </w:r>
      <w:r w:rsidRPr="00196359">
        <w:rPr>
          <w:rFonts w:ascii="Times New Roman" w:hAnsi="Times New Roman" w:cs="Times New Roman"/>
        </w:rPr>
        <w:t xml:space="preserve"> 57</w:t>
      </w:r>
    </w:p>
  </w:footnote>
  <w:footnote w:id="16">
    <w:p w14:paraId="4D6898F7" w14:textId="2457B244" w:rsidR="001E3FB0" w:rsidRPr="001E3FB0" w:rsidRDefault="001E3FB0">
      <w:pPr>
        <w:pStyle w:val="FootnoteText"/>
        <w:rPr>
          <w:rFonts w:ascii="Times New Roman" w:hAnsi="Times New Roman" w:cs="Times New Roman"/>
        </w:rPr>
      </w:pPr>
      <w:r w:rsidRPr="001E3FB0">
        <w:rPr>
          <w:rStyle w:val="FootnoteReference"/>
          <w:rFonts w:ascii="Times New Roman" w:hAnsi="Times New Roman" w:cs="Times New Roman"/>
        </w:rPr>
        <w:footnoteRef/>
      </w:r>
      <w:r w:rsidRPr="001E3FB0">
        <w:rPr>
          <w:rFonts w:ascii="Times New Roman" w:hAnsi="Times New Roman" w:cs="Times New Roman"/>
        </w:rPr>
        <w:t xml:space="preserve"> </w:t>
      </w:r>
      <w:r w:rsidRPr="001E3FB0">
        <w:rPr>
          <w:rFonts w:ascii="Times New Roman" w:hAnsi="Times New Roman" w:cs="Times New Roman"/>
          <w:i/>
          <w:iCs/>
        </w:rPr>
        <w:t>Id.</w:t>
      </w:r>
      <w:r w:rsidRPr="001E3FB0">
        <w:rPr>
          <w:rFonts w:ascii="Times New Roman" w:hAnsi="Times New Roman" w:cs="Times New Roman"/>
        </w:rPr>
        <w:t xml:space="preserve"> at 58</w:t>
      </w:r>
    </w:p>
  </w:footnote>
  <w:footnote w:id="17">
    <w:p w14:paraId="4011F233" w14:textId="77777777" w:rsidR="00216D01" w:rsidRPr="00D70FE9" w:rsidRDefault="00216D01" w:rsidP="00216D01">
      <w:pPr>
        <w:pStyle w:val="FootnoteText"/>
        <w:rPr>
          <w:rFonts w:ascii="Times New Roman" w:hAnsi="Times New Roman" w:cs="Times New Roman"/>
        </w:rPr>
      </w:pPr>
      <w:r w:rsidRPr="00D70FE9">
        <w:rPr>
          <w:rStyle w:val="FootnoteReference"/>
          <w:rFonts w:ascii="Times New Roman" w:hAnsi="Times New Roman" w:cs="Times New Roman"/>
        </w:rPr>
        <w:footnoteRef/>
      </w:r>
      <w:r w:rsidRPr="00D70FE9">
        <w:rPr>
          <w:rFonts w:ascii="Times New Roman" w:hAnsi="Times New Roman" w:cs="Times New Roman"/>
        </w:rPr>
        <w:t xml:space="preserve"> </w:t>
      </w:r>
      <w:r w:rsidRPr="00D70FE9">
        <w:rPr>
          <w:rFonts w:ascii="Times New Roman" w:hAnsi="Times New Roman" w:cs="Times New Roman"/>
          <w:i/>
          <w:iCs/>
        </w:rPr>
        <w:t>Id.</w:t>
      </w:r>
      <w:r w:rsidRPr="00D70FE9">
        <w:rPr>
          <w:rFonts w:ascii="Times New Roman" w:hAnsi="Times New Roman" w:cs="Times New Roman"/>
        </w:rPr>
        <w:t xml:space="preserve"> at 162 (quoting </w:t>
      </w:r>
      <w:r w:rsidRPr="00D70FE9">
        <w:rPr>
          <w:rFonts w:ascii="Times New Roman" w:hAnsi="Times New Roman" w:cs="Times New Roman"/>
          <w:i/>
          <w:iCs/>
        </w:rPr>
        <w:t>Silver</w:t>
      </w:r>
      <w:r w:rsidRPr="00D70FE9">
        <w:rPr>
          <w:rFonts w:ascii="Times New Roman" w:hAnsi="Times New Roman" w:cs="Times New Roman"/>
        </w:rPr>
        <w:t xml:space="preserve"> at 55-56)</w:t>
      </w:r>
    </w:p>
  </w:footnote>
  <w:footnote w:id="18">
    <w:p w14:paraId="0B8563A6" w14:textId="77777777" w:rsidR="00216D01" w:rsidRPr="00AC11DC" w:rsidRDefault="00216D01" w:rsidP="00216D01">
      <w:pPr>
        <w:pStyle w:val="FootnoteText"/>
        <w:rPr>
          <w:rFonts w:ascii="Times New Roman" w:hAnsi="Times New Roman" w:cs="Times New Roman"/>
        </w:rPr>
      </w:pPr>
      <w:r w:rsidRPr="00AC11DC">
        <w:rPr>
          <w:rStyle w:val="FootnoteReference"/>
          <w:rFonts w:ascii="Times New Roman" w:hAnsi="Times New Roman" w:cs="Times New Roman"/>
        </w:rPr>
        <w:footnoteRef/>
      </w:r>
      <w:r w:rsidRPr="00AC11DC">
        <w:rPr>
          <w:rFonts w:ascii="Times New Roman" w:hAnsi="Times New Roman" w:cs="Times New Roman"/>
        </w:rPr>
        <w:t xml:space="preserve"> </w:t>
      </w:r>
      <w:r w:rsidRPr="00AC11DC">
        <w:rPr>
          <w:rFonts w:ascii="Times New Roman" w:hAnsi="Times New Roman" w:cs="Times New Roman"/>
          <w:i/>
          <w:iCs/>
        </w:rPr>
        <w:t>Silver</w:t>
      </w:r>
      <w:r w:rsidRPr="00AC11DC">
        <w:rPr>
          <w:rFonts w:ascii="Times New Roman" w:hAnsi="Times New Roman" w:cs="Times New Roman"/>
        </w:rPr>
        <w:t xml:space="preserve"> at 58</w:t>
      </w:r>
    </w:p>
  </w:footnote>
  <w:footnote w:id="19">
    <w:p w14:paraId="45974174" w14:textId="42429F2A" w:rsidR="00AC11DC" w:rsidRPr="00AC11DC" w:rsidRDefault="00AC11DC">
      <w:pPr>
        <w:pStyle w:val="FootnoteText"/>
        <w:rPr>
          <w:rFonts w:ascii="Times New Roman" w:hAnsi="Times New Roman" w:cs="Times New Roman"/>
        </w:rPr>
      </w:pPr>
      <w:r w:rsidRPr="00AC11DC">
        <w:rPr>
          <w:rStyle w:val="FootnoteReference"/>
          <w:rFonts w:ascii="Times New Roman" w:hAnsi="Times New Roman" w:cs="Times New Roman"/>
        </w:rPr>
        <w:footnoteRef/>
      </w:r>
      <w:r w:rsidRPr="00AC11DC">
        <w:rPr>
          <w:rFonts w:ascii="Times New Roman" w:hAnsi="Times New Roman" w:cs="Times New Roman"/>
        </w:rPr>
        <w:t xml:space="preserve"> 46 N.J.R. 1796(a)</w:t>
      </w:r>
      <w:r w:rsidR="003D5F37">
        <w:rPr>
          <w:rFonts w:ascii="Times New Roman" w:hAnsi="Times New Roman" w:cs="Times New Roman"/>
        </w:rPr>
        <w:t xml:space="preserve"> (Aug. 18, 2014)</w:t>
      </w:r>
    </w:p>
  </w:footnote>
  <w:footnote w:id="20">
    <w:p w14:paraId="70C19CA8" w14:textId="243C854F" w:rsidR="00AC11DC" w:rsidRPr="00AC11DC" w:rsidRDefault="00AC11DC">
      <w:pPr>
        <w:pStyle w:val="FootnoteText"/>
        <w:rPr>
          <w:rFonts w:ascii="Times New Roman" w:hAnsi="Times New Roman" w:cs="Times New Roman"/>
        </w:rPr>
      </w:pPr>
      <w:r w:rsidRPr="00AC11DC">
        <w:rPr>
          <w:rStyle w:val="FootnoteReference"/>
          <w:rFonts w:ascii="Times New Roman" w:hAnsi="Times New Roman" w:cs="Times New Roman"/>
        </w:rPr>
        <w:footnoteRef/>
      </w:r>
      <w:r w:rsidRPr="00AC11DC">
        <w:rPr>
          <w:rFonts w:ascii="Times New Roman" w:hAnsi="Times New Roman" w:cs="Times New Roman"/>
        </w:rPr>
        <w:t xml:space="preserve"> 46 N.J.R. 1796(a), Summary</w:t>
      </w:r>
    </w:p>
  </w:footnote>
  <w:footnote w:id="21">
    <w:p w14:paraId="0A893721" w14:textId="0271F0CE" w:rsidR="00AC11DC" w:rsidRPr="00AC11DC" w:rsidRDefault="00AC11DC">
      <w:pPr>
        <w:pStyle w:val="FootnoteText"/>
        <w:rPr>
          <w:rFonts w:ascii="Times New Roman" w:hAnsi="Times New Roman" w:cs="Times New Roman"/>
        </w:rPr>
      </w:pPr>
      <w:r w:rsidRPr="00AC11DC">
        <w:rPr>
          <w:rStyle w:val="FootnoteReference"/>
          <w:rFonts w:ascii="Times New Roman" w:hAnsi="Times New Roman" w:cs="Times New Roman"/>
        </w:rPr>
        <w:footnoteRef/>
      </w:r>
      <w:r w:rsidRPr="00AC11DC">
        <w:rPr>
          <w:rFonts w:ascii="Times New Roman" w:hAnsi="Times New Roman" w:cs="Times New Roman"/>
        </w:rPr>
        <w:t xml:space="preserve"> </w:t>
      </w:r>
      <w:r w:rsidRPr="00AC11DC">
        <w:rPr>
          <w:rFonts w:ascii="Times New Roman" w:hAnsi="Times New Roman" w:cs="Times New Roman"/>
          <w:i/>
          <w:iCs/>
        </w:rPr>
        <w:t>Id.</w:t>
      </w:r>
    </w:p>
  </w:footnote>
  <w:footnote w:id="22">
    <w:p w14:paraId="0FBAB685" w14:textId="62DE1C07" w:rsidR="00216D01" w:rsidRPr="00AC11DC" w:rsidRDefault="00216D01">
      <w:pPr>
        <w:pStyle w:val="FootnoteText"/>
        <w:rPr>
          <w:rFonts w:ascii="Times New Roman" w:hAnsi="Times New Roman" w:cs="Times New Roman"/>
        </w:rPr>
      </w:pPr>
      <w:r w:rsidRPr="00AC11DC">
        <w:rPr>
          <w:rStyle w:val="FootnoteReference"/>
          <w:rFonts w:ascii="Times New Roman" w:hAnsi="Times New Roman" w:cs="Times New Roman"/>
        </w:rPr>
        <w:footnoteRef/>
      </w:r>
      <w:r w:rsidRPr="00AC11DC">
        <w:rPr>
          <w:rFonts w:ascii="Times New Roman" w:hAnsi="Times New Roman" w:cs="Times New Roman"/>
        </w:rPr>
        <w:t xml:space="preserve"> 450 N.J. Super. at 164</w:t>
      </w:r>
    </w:p>
  </w:footnote>
  <w:footnote w:id="23">
    <w:p w14:paraId="3FBF0A3F" w14:textId="08950764" w:rsidR="00216D01" w:rsidRPr="003D5F37" w:rsidRDefault="00216D01">
      <w:pPr>
        <w:pStyle w:val="FootnoteText"/>
        <w:rPr>
          <w:rFonts w:ascii="Times New Roman" w:hAnsi="Times New Roman" w:cs="Times New Roman"/>
        </w:rPr>
      </w:pPr>
      <w:r w:rsidRPr="00AC11DC">
        <w:rPr>
          <w:rStyle w:val="FootnoteReference"/>
          <w:rFonts w:ascii="Times New Roman" w:hAnsi="Times New Roman" w:cs="Times New Roman"/>
        </w:rPr>
        <w:footnoteRef/>
      </w:r>
      <w:r w:rsidRPr="00AC11DC">
        <w:rPr>
          <w:rFonts w:ascii="Times New Roman" w:hAnsi="Times New Roman" w:cs="Times New Roman"/>
        </w:rPr>
        <w:t xml:space="preserve"> </w:t>
      </w:r>
      <w:r w:rsidRPr="00AC11DC">
        <w:rPr>
          <w:rFonts w:ascii="Times New Roman" w:hAnsi="Times New Roman" w:cs="Times New Roman"/>
          <w:i/>
          <w:iCs/>
        </w:rPr>
        <w:t>Id.</w:t>
      </w:r>
    </w:p>
  </w:footnote>
  <w:footnote w:id="24">
    <w:p w14:paraId="28A6F65F" w14:textId="0CA6BF68" w:rsidR="003D5F37" w:rsidRPr="003D5F37" w:rsidRDefault="003D5F37">
      <w:pPr>
        <w:pStyle w:val="FootnoteText"/>
        <w:rPr>
          <w:rFonts w:ascii="Times New Roman" w:hAnsi="Times New Roman" w:cs="Times New Roman"/>
        </w:rPr>
      </w:pPr>
      <w:r w:rsidRPr="003D5F37">
        <w:rPr>
          <w:rStyle w:val="FootnoteReference"/>
          <w:rFonts w:ascii="Times New Roman" w:hAnsi="Times New Roman" w:cs="Times New Roman"/>
        </w:rPr>
        <w:footnoteRef/>
      </w:r>
      <w:r w:rsidRPr="003D5F37">
        <w:rPr>
          <w:rFonts w:ascii="Times New Roman" w:hAnsi="Times New Roman" w:cs="Times New Roman"/>
        </w:rPr>
        <w:t xml:space="preserve"> </w:t>
      </w:r>
      <w:r w:rsidRPr="003D5F37">
        <w:rPr>
          <w:rFonts w:ascii="Times New Roman" w:hAnsi="Times New Roman" w:cs="Times New Roman"/>
          <w:i/>
          <w:iCs/>
        </w:rPr>
        <w:t>Id.</w:t>
      </w:r>
    </w:p>
  </w:footnote>
  <w:footnote w:id="25">
    <w:p w14:paraId="7F3078D6" w14:textId="596C2C32" w:rsidR="003D5F37" w:rsidRPr="003D5F37" w:rsidRDefault="003D5F37">
      <w:pPr>
        <w:pStyle w:val="FootnoteText"/>
        <w:rPr>
          <w:rFonts w:ascii="Times New Roman" w:hAnsi="Times New Roman" w:cs="Times New Roman"/>
        </w:rPr>
      </w:pPr>
      <w:r w:rsidRPr="003D5F37">
        <w:rPr>
          <w:rStyle w:val="FootnoteReference"/>
          <w:rFonts w:ascii="Times New Roman" w:hAnsi="Times New Roman" w:cs="Times New Roman"/>
        </w:rPr>
        <w:footnoteRef/>
      </w:r>
      <w:r w:rsidRPr="003D5F37">
        <w:rPr>
          <w:rFonts w:ascii="Times New Roman" w:hAnsi="Times New Roman" w:cs="Times New Roman"/>
        </w:rPr>
        <w:t xml:space="preserve"> </w:t>
      </w:r>
      <w:r w:rsidRPr="003D5F37">
        <w:rPr>
          <w:rFonts w:ascii="Times New Roman" w:hAnsi="Times New Roman" w:cs="Times New Roman"/>
          <w:i/>
          <w:iCs/>
        </w:rPr>
        <w:t>Id.</w:t>
      </w:r>
      <w:r w:rsidRPr="003D5F37">
        <w:rPr>
          <w:rFonts w:ascii="Times New Roman" w:hAnsi="Times New Roman" w:cs="Times New Roman"/>
        </w:rPr>
        <w:t xml:space="preserve"> at 165</w:t>
      </w:r>
    </w:p>
  </w:footnote>
  <w:footnote w:id="26">
    <w:p w14:paraId="1CF6BEBF" w14:textId="085660DA" w:rsidR="001E3FB0" w:rsidRPr="003815CA" w:rsidRDefault="001E3FB0">
      <w:pPr>
        <w:pStyle w:val="FootnoteText"/>
        <w:rPr>
          <w:rFonts w:ascii="Times New Roman" w:hAnsi="Times New Roman" w:cs="Times New Roman"/>
        </w:rPr>
      </w:pPr>
      <w:r w:rsidRPr="003815CA">
        <w:rPr>
          <w:rStyle w:val="FootnoteReference"/>
          <w:rFonts w:ascii="Times New Roman" w:hAnsi="Times New Roman" w:cs="Times New Roman"/>
        </w:rPr>
        <w:footnoteRef/>
      </w:r>
      <w:r w:rsidRPr="003815CA">
        <w:rPr>
          <w:rFonts w:ascii="Times New Roman" w:hAnsi="Times New Roman" w:cs="Times New Roman"/>
        </w:rPr>
        <w:t xml:space="preserve"> </w:t>
      </w:r>
      <w:r w:rsidRPr="003815CA">
        <w:rPr>
          <w:rFonts w:ascii="Times New Roman" w:hAnsi="Times New Roman" w:cs="Times New Roman"/>
          <w:i/>
          <w:iCs/>
        </w:rPr>
        <w:t>Id.</w:t>
      </w:r>
      <w:r w:rsidRPr="003815CA">
        <w:rPr>
          <w:rFonts w:ascii="Times New Roman" w:hAnsi="Times New Roman" w:cs="Times New Roman"/>
        </w:rPr>
        <w:t xml:space="preserve"> at 166</w:t>
      </w:r>
    </w:p>
  </w:footnote>
  <w:footnote w:id="27">
    <w:p w14:paraId="1ABF9237" w14:textId="7FAE1DE2" w:rsidR="001E3FB0" w:rsidRPr="003815CA" w:rsidRDefault="001E3FB0">
      <w:pPr>
        <w:pStyle w:val="FootnoteText"/>
        <w:rPr>
          <w:rFonts w:ascii="Times New Roman" w:hAnsi="Times New Roman" w:cs="Times New Roman"/>
        </w:rPr>
      </w:pPr>
      <w:r w:rsidRPr="003815CA">
        <w:rPr>
          <w:rStyle w:val="FootnoteReference"/>
          <w:rFonts w:ascii="Times New Roman" w:hAnsi="Times New Roman" w:cs="Times New Roman"/>
        </w:rPr>
        <w:footnoteRef/>
      </w:r>
      <w:r w:rsidRPr="003815CA">
        <w:rPr>
          <w:rFonts w:ascii="Times New Roman" w:hAnsi="Times New Roman" w:cs="Times New Roman"/>
        </w:rPr>
        <w:t xml:space="preserve"> </w:t>
      </w:r>
      <w:r w:rsidRPr="003815CA">
        <w:rPr>
          <w:rFonts w:ascii="Times New Roman" w:hAnsi="Times New Roman" w:cs="Times New Roman"/>
          <w:i/>
          <w:iCs/>
        </w:rPr>
        <w:t>Id.</w:t>
      </w:r>
    </w:p>
  </w:footnote>
  <w:footnote w:id="28">
    <w:p w14:paraId="59EB03EC" w14:textId="18D66DB4" w:rsidR="001E3FB0" w:rsidRPr="003815CA" w:rsidRDefault="001E3FB0">
      <w:pPr>
        <w:pStyle w:val="FootnoteText"/>
        <w:rPr>
          <w:rFonts w:ascii="Times New Roman" w:hAnsi="Times New Roman" w:cs="Times New Roman"/>
        </w:rPr>
      </w:pPr>
      <w:r w:rsidRPr="003815CA">
        <w:rPr>
          <w:rStyle w:val="FootnoteReference"/>
          <w:rFonts w:ascii="Times New Roman" w:hAnsi="Times New Roman" w:cs="Times New Roman"/>
        </w:rPr>
        <w:footnoteRef/>
      </w:r>
      <w:r w:rsidRPr="003815CA">
        <w:rPr>
          <w:rFonts w:ascii="Times New Roman" w:hAnsi="Times New Roman" w:cs="Times New Roman"/>
        </w:rPr>
        <w:t xml:space="preserve"> </w:t>
      </w:r>
      <w:r w:rsidRPr="003815CA">
        <w:rPr>
          <w:rFonts w:ascii="Times New Roman" w:hAnsi="Times New Roman" w:cs="Times New Roman"/>
          <w:i/>
          <w:iCs/>
        </w:rPr>
        <w:t>Id.</w:t>
      </w:r>
      <w:r w:rsidRPr="003815CA">
        <w:rPr>
          <w:rFonts w:ascii="Times New Roman" w:hAnsi="Times New Roman" w:cs="Times New Roman"/>
        </w:rPr>
        <w:t xml:space="preserve"> at 172</w:t>
      </w:r>
    </w:p>
  </w:footnote>
  <w:footnote w:id="29">
    <w:p w14:paraId="2038B351" w14:textId="4EE22179" w:rsidR="001E3FB0" w:rsidRPr="003815CA" w:rsidRDefault="001E3FB0">
      <w:pPr>
        <w:pStyle w:val="FootnoteText"/>
        <w:rPr>
          <w:rFonts w:ascii="Times New Roman" w:hAnsi="Times New Roman" w:cs="Times New Roman"/>
        </w:rPr>
      </w:pPr>
      <w:r w:rsidRPr="003815CA">
        <w:rPr>
          <w:rStyle w:val="FootnoteReference"/>
          <w:rFonts w:ascii="Times New Roman" w:hAnsi="Times New Roman" w:cs="Times New Roman"/>
        </w:rPr>
        <w:footnoteRef/>
      </w:r>
      <w:r w:rsidRPr="003815CA">
        <w:rPr>
          <w:rFonts w:ascii="Times New Roman" w:hAnsi="Times New Roman" w:cs="Times New Roman"/>
        </w:rPr>
        <w:t xml:space="preserve"> </w:t>
      </w:r>
      <w:r w:rsidRPr="003815CA">
        <w:rPr>
          <w:rFonts w:ascii="Times New Roman" w:hAnsi="Times New Roman" w:cs="Times New Roman"/>
          <w:i/>
          <w:iCs/>
        </w:rPr>
        <w:t>Id.</w:t>
      </w:r>
    </w:p>
  </w:footnote>
  <w:footnote w:id="30">
    <w:p w14:paraId="42FEDDD6" w14:textId="60F818D7" w:rsidR="001E3FB0" w:rsidRPr="003815CA" w:rsidRDefault="001E3FB0">
      <w:pPr>
        <w:pStyle w:val="FootnoteText"/>
        <w:rPr>
          <w:rFonts w:ascii="Times New Roman" w:hAnsi="Times New Roman" w:cs="Times New Roman"/>
        </w:rPr>
      </w:pPr>
      <w:r w:rsidRPr="003815CA">
        <w:rPr>
          <w:rStyle w:val="FootnoteReference"/>
          <w:rFonts w:ascii="Times New Roman" w:hAnsi="Times New Roman" w:cs="Times New Roman"/>
        </w:rPr>
        <w:footnoteRef/>
      </w:r>
      <w:r w:rsidRPr="003815CA">
        <w:rPr>
          <w:rFonts w:ascii="Times New Roman" w:hAnsi="Times New Roman" w:cs="Times New Roman"/>
        </w:rPr>
        <w:t xml:space="preserve"> 49 N.J.R. 3326(a)</w:t>
      </w:r>
    </w:p>
  </w:footnote>
  <w:footnote w:id="31">
    <w:p w14:paraId="2C712C6F" w14:textId="76A24DD5" w:rsidR="001E3FB0" w:rsidRPr="003815CA" w:rsidRDefault="001E3FB0">
      <w:pPr>
        <w:pStyle w:val="FootnoteText"/>
        <w:rPr>
          <w:rFonts w:ascii="Times New Roman" w:hAnsi="Times New Roman" w:cs="Times New Roman"/>
        </w:rPr>
      </w:pPr>
      <w:r w:rsidRPr="003815CA">
        <w:rPr>
          <w:rStyle w:val="FootnoteReference"/>
          <w:rFonts w:ascii="Times New Roman" w:hAnsi="Times New Roman" w:cs="Times New Roman"/>
        </w:rPr>
        <w:footnoteRef/>
      </w:r>
      <w:r w:rsidRPr="003815CA">
        <w:rPr>
          <w:rFonts w:ascii="Times New Roman" w:hAnsi="Times New Roman" w:cs="Times New Roman"/>
        </w:rPr>
        <w:t xml:space="preserve"> </w:t>
      </w:r>
      <w:r w:rsidR="003815CA" w:rsidRPr="003815CA">
        <w:rPr>
          <w:rFonts w:ascii="Times New Roman" w:hAnsi="Times New Roman" w:cs="Times New Roman"/>
          <w:i/>
          <w:iCs/>
        </w:rPr>
        <w:t>Id.</w:t>
      </w:r>
    </w:p>
  </w:footnote>
  <w:footnote w:id="32">
    <w:p w14:paraId="3A0CC10A" w14:textId="5A9BCDE4" w:rsidR="003815CA" w:rsidRPr="003815CA" w:rsidRDefault="003815CA">
      <w:pPr>
        <w:pStyle w:val="FootnoteText"/>
        <w:rPr>
          <w:rFonts w:ascii="Times New Roman" w:hAnsi="Times New Roman" w:cs="Times New Roman"/>
        </w:rPr>
      </w:pPr>
      <w:r w:rsidRPr="003815CA">
        <w:rPr>
          <w:rStyle w:val="FootnoteReference"/>
          <w:rFonts w:ascii="Times New Roman" w:hAnsi="Times New Roman" w:cs="Times New Roman"/>
        </w:rPr>
        <w:footnoteRef/>
      </w:r>
      <w:r w:rsidRPr="003815CA">
        <w:rPr>
          <w:rFonts w:ascii="Times New Roman" w:hAnsi="Times New Roman" w:cs="Times New Roman"/>
        </w:rPr>
        <w:t xml:space="preserve"> </w:t>
      </w:r>
      <w:r w:rsidRPr="003815CA">
        <w:rPr>
          <w:rFonts w:ascii="Times New Roman" w:hAnsi="Times New Roman" w:cs="Times New Roman"/>
          <w:i/>
          <w:iCs/>
        </w:rPr>
        <w:t>Id.</w:t>
      </w:r>
    </w:p>
  </w:footnote>
  <w:footnote w:id="33">
    <w:p w14:paraId="35A7CF86" w14:textId="2E23CAB2" w:rsidR="003815CA" w:rsidRPr="003815CA" w:rsidRDefault="003815CA">
      <w:pPr>
        <w:pStyle w:val="FootnoteText"/>
        <w:rPr>
          <w:rFonts w:ascii="Times New Roman" w:hAnsi="Times New Roman" w:cs="Times New Roman"/>
        </w:rPr>
      </w:pPr>
      <w:r w:rsidRPr="003815CA">
        <w:rPr>
          <w:rStyle w:val="FootnoteReference"/>
          <w:rFonts w:ascii="Times New Roman" w:hAnsi="Times New Roman" w:cs="Times New Roman"/>
        </w:rPr>
        <w:footnoteRef/>
      </w:r>
      <w:r w:rsidRPr="003815CA">
        <w:rPr>
          <w:rFonts w:ascii="Times New Roman" w:hAnsi="Times New Roman" w:cs="Times New Roman"/>
        </w:rPr>
        <w:t xml:space="preserve"> S2439/A3871 (2018)</w:t>
      </w:r>
    </w:p>
  </w:footnote>
  <w:footnote w:id="34">
    <w:p w14:paraId="4B47B967" w14:textId="770F27D4" w:rsidR="003815CA" w:rsidRPr="003815CA" w:rsidRDefault="003815CA">
      <w:pPr>
        <w:pStyle w:val="FootnoteText"/>
        <w:rPr>
          <w:rFonts w:ascii="Times New Roman" w:hAnsi="Times New Roman" w:cs="Times New Roman"/>
        </w:rPr>
      </w:pPr>
      <w:r w:rsidRPr="003815CA">
        <w:rPr>
          <w:rStyle w:val="FootnoteReference"/>
          <w:rFonts w:ascii="Times New Roman" w:hAnsi="Times New Roman" w:cs="Times New Roman"/>
        </w:rPr>
        <w:footnoteRef/>
      </w:r>
      <w:r w:rsidRPr="003815CA">
        <w:rPr>
          <w:rFonts w:ascii="Times New Roman" w:hAnsi="Times New Roman" w:cs="Times New Roman"/>
        </w:rPr>
        <w:t xml:space="preserve"> Statement</w:t>
      </w:r>
      <w:r>
        <w:rPr>
          <w:rFonts w:ascii="Times New Roman" w:hAnsi="Times New Roman" w:cs="Times New Roman"/>
        </w:rPr>
        <w:t xml:space="preserve"> to</w:t>
      </w:r>
      <w:r w:rsidRPr="003815CA">
        <w:rPr>
          <w:rFonts w:ascii="Times New Roman" w:hAnsi="Times New Roman" w:cs="Times New Roman"/>
        </w:rPr>
        <w:t xml:space="preserve"> S2439, </w:t>
      </w:r>
      <w:r w:rsidRPr="003815CA">
        <w:rPr>
          <w:rFonts w:ascii="Times New Roman" w:hAnsi="Times New Roman" w:cs="Times New Roman"/>
          <w:i/>
          <w:iCs/>
        </w:rPr>
        <w:t>P.L.</w:t>
      </w:r>
      <w:r w:rsidRPr="003815CA">
        <w:rPr>
          <w:rFonts w:ascii="Times New Roman" w:hAnsi="Times New Roman" w:cs="Times New Roman"/>
        </w:rPr>
        <w:t xml:space="preserve"> 2018, </w:t>
      </w:r>
      <w:r w:rsidRPr="003815CA">
        <w:rPr>
          <w:rFonts w:ascii="Times New Roman" w:hAnsi="Times New Roman" w:cs="Times New Roman"/>
          <w:i/>
          <w:iCs/>
        </w:rPr>
        <w:t>c.</w:t>
      </w:r>
      <w:r w:rsidRPr="003815CA">
        <w:rPr>
          <w:rFonts w:ascii="Times New Roman" w:hAnsi="Times New Roman" w:cs="Times New Roman"/>
        </w:rPr>
        <w:t xml:space="preserve"> 112</w:t>
      </w:r>
    </w:p>
  </w:footnote>
  <w:footnote w:id="35">
    <w:p w14:paraId="4298653C" w14:textId="399AF339" w:rsidR="003815CA" w:rsidRPr="003815CA" w:rsidRDefault="003815CA">
      <w:pPr>
        <w:pStyle w:val="FootnoteText"/>
        <w:rPr>
          <w:rFonts w:ascii="Times New Roman" w:hAnsi="Times New Roman" w:cs="Times New Roman"/>
        </w:rPr>
      </w:pPr>
      <w:r w:rsidRPr="003815CA">
        <w:rPr>
          <w:rStyle w:val="FootnoteReference"/>
          <w:rFonts w:ascii="Times New Roman" w:hAnsi="Times New Roman" w:cs="Times New Roman"/>
        </w:rPr>
        <w:footnoteRef/>
      </w:r>
      <w:r w:rsidRPr="003815CA">
        <w:rPr>
          <w:rFonts w:ascii="Times New Roman" w:hAnsi="Times New Roman" w:cs="Times New Roman"/>
        </w:rPr>
        <w:t xml:space="preserve"> N.J.S. 43:21-5(b), </w:t>
      </w:r>
      <w:r w:rsidRPr="003815CA">
        <w:rPr>
          <w:rFonts w:ascii="Times New Roman" w:hAnsi="Times New Roman" w:cs="Times New Roman"/>
          <w:i/>
          <w:iCs/>
        </w:rPr>
        <w:t>P.L.</w:t>
      </w:r>
      <w:r w:rsidRPr="003815CA">
        <w:rPr>
          <w:rFonts w:ascii="Times New Roman" w:hAnsi="Times New Roman" w:cs="Times New Roman"/>
        </w:rPr>
        <w:t xml:space="preserve"> 2018, </w:t>
      </w:r>
      <w:r w:rsidRPr="003815CA">
        <w:rPr>
          <w:rFonts w:ascii="Times New Roman" w:hAnsi="Times New Roman" w:cs="Times New Roman"/>
          <w:i/>
          <w:iCs/>
        </w:rPr>
        <w:t>c.</w:t>
      </w:r>
      <w:r w:rsidRPr="003815CA">
        <w:rPr>
          <w:rFonts w:ascii="Times New Roman" w:hAnsi="Times New Roman" w:cs="Times New Roman"/>
        </w:rPr>
        <w:t xml:space="preserve"> 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D4212" w14:textId="1C0B3AAB" w:rsidR="003815CA" w:rsidRDefault="003815CA">
    <w:pPr>
      <w:pStyle w:val="Header"/>
    </w:pPr>
  </w:p>
  <w:p w14:paraId="75D67A0D" w14:textId="77777777" w:rsidR="001855A2" w:rsidRDefault="001855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31C"/>
    <w:rsid w:val="0004534C"/>
    <w:rsid w:val="000736C9"/>
    <w:rsid w:val="00091EB0"/>
    <w:rsid w:val="000D4EC5"/>
    <w:rsid w:val="001855A2"/>
    <w:rsid w:val="00196359"/>
    <w:rsid w:val="001B09C6"/>
    <w:rsid w:val="001B55DF"/>
    <w:rsid w:val="001E3FB0"/>
    <w:rsid w:val="00202257"/>
    <w:rsid w:val="00216D01"/>
    <w:rsid w:val="00262993"/>
    <w:rsid w:val="00343B7C"/>
    <w:rsid w:val="003815CA"/>
    <w:rsid w:val="003A22F9"/>
    <w:rsid w:val="003D5F37"/>
    <w:rsid w:val="003F2D38"/>
    <w:rsid w:val="005841D1"/>
    <w:rsid w:val="005A78B3"/>
    <w:rsid w:val="0061017A"/>
    <w:rsid w:val="0062444B"/>
    <w:rsid w:val="0067747D"/>
    <w:rsid w:val="006C7281"/>
    <w:rsid w:val="006F0996"/>
    <w:rsid w:val="00701200"/>
    <w:rsid w:val="00725B7A"/>
    <w:rsid w:val="007876AA"/>
    <w:rsid w:val="007B2923"/>
    <w:rsid w:val="007B3779"/>
    <w:rsid w:val="007D2828"/>
    <w:rsid w:val="00800C8C"/>
    <w:rsid w:val="00831AC3"/>
    <w:rsid w:val="008B1398"/>
    <w:rsid w:val="00A21CDB"/>
    <w:rsid w:val="00A612F3"/>
    <w:rsid w:val="00A859CF"/>
    <w:rsid w:val="00AB0AC8"/>
    <w:rsid w:val="00AC11DC"/>
    <w:rsid w:val="00AD6571"/>
    <w:rsid w:val="00B05CC6"/>
    <w:rsid w:val="00B37D59"/>
    <w:rsid w:val="00BE0441"/>
    <w:rsid w:val="00BE47F3"/>
    <w:rsid w:val="00C4531E"/>
    <w:rsid w:val="00C760B7"/>
    <w:rsid w:val="00C87B88"/>
    <w:rsid w:val="00CE6376"/>
    <w:rsid w:val="00D250C1"/>
    <w:rsid w:val="00D70FE9"/>
    <w:rsid w:val="00D8031C"/>
    <w:rsid w:val="00D9095A"/>
    <w:rsid w:val="00DE017C"/>
    <w:rsid w:val="00E2217F"/>
    <w:rsid w:val="00E6098A"/>
    <w:rsid w:val="00ED0232"/>
    <w:rsid w:val="00EE0CAE"/>
    <w:rsid w:val="00F03CED"/>
    <w:rsid w:val="00FD100C"/>
    <w:rsid w:val="00FF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B04A"/>
  <w15:chartTrackingRefBased/>
  <w15:docId w15:val="{DDB39D9D-F998-4287-ACE0-E4A624AA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01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17A"/>
    <w:rPr>
      <w:sz w:val="20"/>
      <w:szCs w:val="20"/>
    </w:rPr>
  </w:style>
  <w:style w:type="character" w:styleId="FootnoteReference">
    <w:name w:val="footnote reference"/>
    <w:basedOn w:val="DefaultParagraphFont"/>
    <w:uiPriority w:val="99"/>
    <w:semiHidden/>
    <w:unhideWhenUsed/>
    <w:rsid w:val="0061017A"/>
    <w:rPr>
      <w:vertAlign w:val="superscript"/>
    </w:rPr>
  </w:style>
  <w:style w:type="character" w:styleId="Hyperlink">
    <w:name w:val="Hyperlink"/>
    <w:basedOn w:val="DefaultParagraphFont"/>
    <w:uiPriority w:val="99"/>
    <w:semiHidden/>
    <w:unhideWhenUsed/>
    <w:rsid w:val="001B09C6"/>
    <w:rPr>
      <w:color w:val="0000FF"/>
      <w:u w:val="single"/>
    </w:rPr>
  </w:style>
  <w:style w:type="paragraph" w:styleId="Header">
    <w:name w:val="header"/>
    <w:basedOn w:val="Normal"/>
    <w:link w:val="HeaderChar"/>
    <w:uiPriority w:val="99"/>
    <w:unhideWhenUsed/>
    <w:rsid w:val="00381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5CA"/>
  </w:style>
  <w:style w:type="paragraph" w:styleId="Footer">
    <w:name w:val="footer"/>
    <w:basedOn w:val="Normal"/>
    <w:link w:val="FooterChar"/>
    <w:uiPriority w:val="99"/>
    <w:unhideWhenUsed/>
    <w:rsid w:val="00381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jleg.state.nj.us/2010/Bills/S2000/1813_V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AB81C-6277-4E5B-AF96-EDF808A7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Office-1 365</dc:creator>
  <cp:keywords/>
  <dc:description/>
  <cp:lastModifiedBy>Office-1 365</cp:lastModifiedBy>
  <cp:revision>7</cp:revision>
  <dcterms:created xsi:type="dcterms:W3CDTF">2019-06-10T16:40:00Z</dcterms:created>
  <dcterms:modified xsi:type="dcterms:W3CDTF">2019-06-11T15:12:00Z</dcterms:modified>
</cp:coreProperties>
</file>