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ED" w:rsidRDefault="00AA2BD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ab/>
      </w:r>
      <w:r w:rsidR="00431B43">
        <w:rPr>
          <w:rFonts w:ascii="Times New Roman" w:eastAsia="Times New Roman" w:hAnsi="Times New Roman" w:cs="Times New Roman"/>
          <w:b/>
          <w:sz w:val="24"/>
          <w:szCs w:val="24"/>
        </w:rPr>
        <w:t xml:space="preserve">New Jersey Law Revision Commission </w:t>
      </w:r>
      <w:bookmarkStart w:id="0" w:name="_GoBack"/>
      <w:bookmarkEnd w:id="0"/>
    </w:p>
    <w:p w:rsidR="00BF32ED" w:rsidRDefault="00AA2BD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w:t>
      </w:r>
      <w:r>
        <w:rPr>
          <w:rFonts w:ascii="Times New Roman" w:eastAsia="Times New Roman" w:hAnsi="Times New Roman" w:cs="Times New Roman"/>
          <w:b/>
          <w:sz w:val="24"/>
          <w:szCs w:val="24"/>
        </w:rPr>
        <w:tab/>
        <w:t xml:space="preserve">Erik Topp and Justin Reilly </w:t>
      </w:r>
    </w:p>
    <w:p w:rsidR="00BF32ED" w:rsidRDefault="00AA2BD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ab/>
        <w:t>Uniform Powers of Appointment Act – Background, Practice, and Recommendation</w:t>
      </w:r>
    </w:p>
    <w:p w:rsidR="00BF32ED" w:rsidRDefault="00AA2BD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t>June 1</w:t>
      </w:r>
      <w:r w:rsidR="00AE5E0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2018</w:t>
      </w:r>
    </w:p>
    <w:p w:rsidR="00BF32ED" w:rsidRDefault="00AA2BD9">
      <w:pPr>
        <w:pStyle w:val="Normal1"/>
        <w:tabs>
          <w:tab w:val="left" w:pos="1945"/>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F32ED" w:rsidRDefault="00AA2BD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 E M O R A N D U M</w:t>
      </w:r>
    </w:p>
    <w:p w:rsidR="00BF32ED" w:rsidRDefault="00BF32ED">
      <w:pPr>
        <w:pStyle w:val="Normal1"/>
        <w:spacing w:line="240" w:lineRule="auto"/>
        <w:jc w:val="center"/>
        <w:rPr>
          <w:rFonts w:ascii="Times New Roman" w:eastAsia="Times New Roman" w:hAnsi="Times New Roman" w:cs="Times New Roman"/>
          <w:b/>
          <w:sz w:val="24"/>
          <w:szCs w:val="24"/>
        </w:rPr>
      </w:pPr>
    </w:p>
    <w:p w:rsidR="00BF32ED" w:rsidRDefault="00AA2BD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rsidR="00BF32ED" w:rsidRDefault="00BF32ED">
      <w:pPr>
        <w:pStyle w:val="Normal1"/>
        <w:spacing w:line="240" w:lineRule="auto"/>
        <w:jc w:val="center"/>
        <w:rPr>
          <w:rFonts w:ascii="Times New Roman" w:eastAsia="Times New Roman" w:hAnsi="Times New Roman" w:cs="Times New Roman"/>
          <w:sz w:val="24"/>
          <w:szCs w:val="24"/>
        </w:rPr>
      </w:pPr>
    </w:p>
    <w:p w:rsidR="00BF32ED" w:rsidRDefault="00AA2BD9">
      <w:pPr>
        <w:pStyle w:val="Normal1"/>
        <w:ind w:firstLine="720"/>
        <w:jc w:val="both"/>
      </w:pPr>
      <w:r>
        <w:rPr>
          <w:rFonts w:ascii="Times New Roman" w:eastAsia="Times New Roman" w:hAnsi="Times New Roman" w:cs="Times New Roman"/>
          <w:sz w:val="24"/>
          <w:szCs w:val="24"/>
        </w:rPr>
        <w:t>Powers of appointment allow “the owner of property to name a third party and give that person the power to direct the distribution of that property among some class of permissible beneficiaries.”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This is a long-standing method of estate planning that allows an individual to pass the authority to distribute property without entirely ceding control over it, but it is generally governed by common law. New Jersey is no exception to common law-dominated powers of appointment, and </w:t>
      </w:r>
      <w:r w:rsidR="000574A4">
        <w:rPr>
          <w:rFonts w:ascii="Times New Roman" w:eastAsia="Times New Roman" w:hAnsi="Times New Roman" w:cs="Times New Roman"/>
          <w:sz w:val="24"/>
          <w:szCs w:val="24"/>
        </w:rPr>
        <w:t>c</w:t>
      </w:r>
      <w:r>
        <w:rPr>
          <w:rFonts w:ascii="Times New Roman" w:eastAsia="Times New Roman" w:hAnsi="Times New Roman" w:cs="Times New Roman"/>
          <w:sz w:val="24"/>
          <w:szCs w:val="24"/>
        </w:rPr>
        <w:t>ould benefit from a codification of the law on powers of appointment in line with the Uniform Powers of Appointment Act</w:t>
      </w:r>
      <w:r w:rsidR="00ED6B73">
        <w:rPr>
          <w:rFonts w:ascii="Times New Roman" w:eastAsia="Times New Roman" w:hAnsi="Times New Roman" w:cs="Times New Roman"/>
          <w:sz w:val="24"/>
          <w:szCs w:val="24"/>
        </w:rPr>
        <w:t xml:space="preserve"> (UPAA)</w:t>
      </w:r>
      <w:r>
        <w:rPr>
          <w:rFonts w:ascii="Times New Roman" w:eastAsia="Times New Roman" w:hAnsi="Times New Roman" w:cs="Times New Roman"/>
          <w:sz w:val="24"/>
          <w:szCs w:val="24"/>
        </w:rPr>
        <w:t>, as it would bring the existing standards into a modern and accessible form.</w:t>
      </w:r>
    </w:p>
    <w:p w:rsidR="00BF32ED" w:rsidRDefault="00BF32ED">
      <w:pPr>
        <w:pStyle w:val="Normal1"/>
        <w:jc w:val="both"/>
        <w:rPr>
          <w:rFonts w:ascii="Times New Roman" w:eastAsia="Times New Roman" w:hAnsi="Times New Roman" w:cs="Times New Roman"/>
          <w:sz w:val="24"/>
          <w:szCs w:val="24"/>
        </w:rPr>
      </w:pPr>
    </w:p>
    <w:p w:rsidR="00BF32ED" w:rsidRDefault="00AA2BD9">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BF32ED" w:rsidRDefault="00BF32ED">
      <w:pPr>
        <w:pStyle w:val="Normal1"/>
        <w:rPr>
          <w:rFonts w:ascii="Times New Roman" w:eastAsia="Times New Roman" w:hAnsi="Times New Roman" w:cs="Times New Roman"/>
          <w:b/>
          <w:sz w:val="24"/>
          <w:szCs w:val="24"/>
        </w:rPr>
      </w:pPr>
    </w:p>
    <w:p w:rsidR="00BF32ED" w:rsidRDefault="00AA2BD9">
      <w:pPr>
        <w:pStyle w:val="Normal1"/>
        <w:numPr>
          <w:ilvl w:val="0"/>
          <w:numId w:val="3"/>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Act</w:t>
      </w:r>
    </w:p>
    <w:p w:rsidR="00ED6B73" w:rsidRDefault="00ED6B73" w:rsidP="00ED6B73">
      <w:pPr>
        <w:pStyle w:val="Normal1"/>
        <w:contextualSpacing/>
        <w:rPr>
          <w:rFonts w:ascii="Times New Roman" w:eastAsia="Times New Roman" w:hAnsi="Times New Roman" w:cs="Times New Roman"/>
          <w:b/>
          <w:sz w:val="24"/>
          <w:szCs w:val="24"/>
        </w:rPr>
      </w:pPr>
    </w:p>
    <w:p w:rsidR="00ED6B73" w:rsidRDefault="00ED6B73" w:rsidP="00ED6B73">
      <w:pPr>
        <w:pStyle w:val="Normal1"/>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Uniform Law Commission explained, in the Prefatory Note to the UPAA, that</w:t>
      </w:r>
      <w:r w:rsidR="006749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D6B73" w:rsidRDefault="00ED6B73" w:rsidP="00ED6B73">
      <w:pPr>
        <w:pStyle w:val="Normal1"/>
        <w:ind w:left="720"/>
        <w:contextualSpacing/>
        <w:rPr>
          <w:rFonts w:ascii="Times New Roman" w:eastAsia="Times New Roman" w:hAnsi="Times New Roman" w:cs="Times New Roman"/>
          <w:sz w:val="24"/>
          <w:szCs w:val="24"/>
        </w:rPr>
      </w:pPr>
    </w:p>
    <w:p w:rsidR="0067497A" w:rsidRDefault="00ED6B73" w:rsidP="00F51FB1">
      <w:pPr>
        <w:pStyle w:val="Normal1"/>
        <w:ind w:left="720" w:right="720"/>
        <w:contextualSpacing/>
        <w:jc w:val="both"/>
        <w:rPr>
          <w:rFonts w:ascii="Times New Roman" w:eastAsia="Times New Roman" w:hAnsi="Times New Roman" w:cs="Times New Roman"/>
          <w:sz w:val="24"/>
          <w:szCs w:val="24"/>
        </w:rPr>
      </w:pPr>
      <w:r w:rsidRPr="00ED6B73">
        <w:rPr>
          <w:rFonts w:ascii="Times New Roman" w:eastAsia="Times New Roman" w:hAnsi="Times New Roman" w:cs="Times New Roman"/>
          <w:sz w:val="24"/>
          <w:szCs w:val="24"/>
        </w:rPr>
        <w:t xml:space="preserve">Professor W. Barton Leach described the power of appointment as “the most efficient dispositive device that the ingenuity of Anglo-American lawyers has ever worked out.” 24 A.B.A. J. 807 (1938). Powers of appointment are routinely included in trusts to add flexibility to the arrangement. </w:t>
      </w:r>
    </w:p>
    <w:p w:rsidR="0067497A" w:rsidRDefault="0067497A" w:rsidP="00F51FB1">
      <w:pPr>
        <w:pStyle w:val="Normal1"/>
        <w:ind w:left="720" w:right="720"/>
        <w:contextualSpacing/>
        <w:jc w:val="both"/>
        <w:rPr>
          <w:rFonts w:ascii="Times New Roman" w:eastAsia="Times New Roman" w:hAnsi="Times New Roman" w:cs="Times New Roman"/>
          <w:sz w:val="24"/>
          <w:szCs w:val="24"/>
        </w:rPr>
      </w:pPr>
    </w:p>
    <w:p w:rsidR="0067497A" w:rsidRDefault="00ED6B73" w:rsidP="00F51FB1">
      <w:pPr>
        <w:pStyle w:val="Normal1"/>
        <w:ind w:left="720" w:right="720"/>
        <w:contextualSpacing/>
        <w:jc w:val="both"/>
        <w:rPr>
          <w:rFonts w:ascii="Times New Roman" w:eastAsia="Times New Roman" w:hAnsi="Times New Roman" w:cs="Times New Roman"/>
          <w:sz w:val="24"/>
          <w:szCs w:val="24"/>
        </w:rPr>
      </w:pPr>
      <w:r w:rsidRPr="00ED6B73">
        <w:rPr>
          <w:rFonts w:ascii="Times New Roman" w:eastAsia="Times New Roman" w:hAnsi="Times New Roman" w:cs="Times New Roman"/>
          <w:sz w:val="24"/>
          <w:szCs w:val="24"/>
        </w:rPr>
        <w:t xml:space="preserve">A power of appointment is the authority, acting in a nonfiduciary capacity, to designate recipients of beneficial ownership interests in, or powers of appointment over, the appointive property. An owner, of course, has this authority with respect to the owner’s property. By creating a power of appointment, the owner typically confers this authority on someone else. </w:t>
      </w:r>
    </w:p>
    <w:p w:rsidR="0067497A" w:rsidRDefault="0067497A" w:rsidP="00F51FB1">
      <w:pPr>
        <w:pStyle w:val="Normal1"/>
        <w:ind w:left="720" w:right="720"/>
        <w:contextualSpacing/>
        <w:jc w:val="both"/>
        <w:rPr>
          <w:rFonts w:ascii="Times New Roman" w:eastAsia="Times New Roman" w:hAnsi="Times New Roman" w:cs="Times New Roman"/>
          <w:sz w:val="24"/>
          <w:szCs w:val="24"/>
        </w:rPr>
      </w:pPr>
    </w:p>
    <w:p w:rsidR="00ED6B73" w:rsidRPr="00ED6B73" w:rsidRDefault="00ED6B73" w:rsidP="00F51FB1">
      <w:pPr>
        <w:pStyle w:val="Normal1"/>
        <w:ind w:left="720" w:right="720"/>
        <w:contextualSpacing/>
        <w:jc w:val="both"/>
        <w:rPr>
          <w:rFonts w:ascii="Times New Roman" w:eastAsia="Times New Roman" w:hAnsi="Times New Roman" w:cs="Times New Roman"/>
          <w:sz w:val="24"/>
          <w:szCs w:val="24"/>
        </w:rPr>
      </w:pPr>
      <w:r w:rsidRPr="00ED6B73">
        <w:rPr>
          <w:rFonts w:ascii="Times New Roman" w:eastAsia="Times New Roman" w:hAnsi="Times New Roman" w:cs="Times New Roman"/>
          <w:sz w:val="24"/>
          <w:szCs w:val="24"/>
        </w:rPr>
        <w:t>The power of appointment is a staple of modern estate-planning practice. However, many jurisdictions within the United States have very little statutory or case law on powers of appointment.</w:t>
      </w:r>
      <w:r w:rsidR="0067497A">
        <w:rPr>
          <w:rStyle w:val="FootnoteReference"/>
          <w:rFonts w:ascii="Times New Roman" w:eastAsia="Times New Roman" w:hAnsi="Times New Roman" w:cs="Times New Roman"/>
          <w:sz w:val="24"/>
          <w:szCs w:val="24"/>
        </w:rPr>
        <w:footnoteReference w:id="2"/>
      </w:r>
    </w:p>
    <w:p w:rsidR="00BF32ED" w:rsidRDefault="00BF32ED">
      <w:pPr>
        <w:pStyle w:val="Normal1"/>
        <w:rPr>
          <w:rFonts w:ascii="Times New Roman" w:eastAsia="Times New Roman" w:hAnsi="Times New Roman" w:cs="Times New Roman"/>
          <w:sz w:val="24"/>
          <w:szCs w:val="24"/>
        </w:rPr>
      </w:pPr>
    </w:p>
    <w:p w:rsidR="00BF32ED" w:rsidRDefault="00AA2BD9" w:rsidP="00AE5E04">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Uniform Law Commission finalized the Uniform Powers of Appointment Act (UPAA) in 2013 in response to calls for standardization of comparable law across the country</w:t>
      </w:r>
      <w:r w:rsidR="00D425C8">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Act was drafted largely based on the </w:t>
      </w:r>
      <w:r w:rsidR="00D425C8">
        <w:rPr>
          <w:rFonts w:ascii="Times New Roman" w:eastAsia="Times New Roman" w:hAnsi="Times New Roman" w:cs="Times New Roman"/>
          <w:sz w:val="24"/>
          <w:szCs w:val="24"/>
        </w:rPr>
        <w:t xml:space="preserve">work of the American Law Institute in its </w:t>
      </w:r>
      <w:r>
        <w:rPr>
          <w:rFonts w:ascii="Times New Roman" w:eastAsia="Times New Roman" w:hAnsi="Times New Roman" w:cs="Times New Roman"/>
          <w:sz w:val="24"/>
          <w:szCs w:val="24"/>
        </w:rPr>
        <w:t>powers of appointment section of the Restatement (Third) of Property: Wills and Other Donative Transfers, attempting to codify prevailing standards with little change.</w:t>
      </w:r>
      <w:r>
        <w:rPr>
          <w:rFonts w:ascii="Times New Roman" w:eastAsia="Times New Roman" w:hAnsi="Times New Roman" w:cs="Times New Roman"/>
          <w:sz w:val="24"/>
          <w:szCs w:val="24"/>
          <w:vertAlign w:val="superscript"/>
        </w:rPr>
        <w:footnoteReference w:id="4"/>
      </w:r>
    </w:p>
    <w:p w:rsidR="00BF32ED" w:rsidRDefault="00BF32ED" w:rsidP="00AE5E04">
      <w:pPr>
        <w:pStyle w:val="Normal1"/>
        <w:ind w:firstLine="720"/>
        <w:jc w:val="both"/>
        <w:rPr>
          <w:rFonts w:ascii="Times New Roman" w:eastAsia="Times New Roman" w:hAnsi="Times New Roman" w:cs="Times New Roman"/>
          <w:sz w:val="24"/>
          <w:szCs w:val="24"/>
        </w:rPr>
      </w:pPr>
    </w:p>
    <w:p w:rsidR="00BF32ED" w:rsidRDefault="00AA2BD9" w:rsidP="00AE5E04">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UPAA contains six articles: Article 1 governs general provisions and definitions regarding powers of appointment; Article 2 establishes rules for the “creation, revocation, and amendment of powers of appointment”; Article 3 governs the exercise of powers of appointment; Article 4 sets standards for revocation and amendment of powers of appointment; Article 5 </w:t>
      </w:r>
      <w:r w:rsidR="00AE5E04">
        <w:rPr>
          <w:rFonts w:ascii="Times New Roman" w:eastAsia="Times New Roman" w:hAnsi="Times New Roman" w:cs="Times New Roman"/>
          <w:sz w:val="24"/>
          <w:szCs w:val="24"/>
        </w:rPr>
        <w:t>p</w:t>
      </w:r>
      <w:r>
        <w:rPr>
          <w:rFonts w:ascii="Times New Roman" w:eastAsia="Times New Roman" w:hAnsi="Times New Roman" w:cs="Times New Roman"/>
          <w:sz w:val="24"/>
          <w:szCs w:val="24"/>
        </w:rPr>
        <w:t>rovides guidelines for third party creditor rights regarding property; Article 6 contains standardized provisions found across Uniform Acts regarding construction of the law.</w:t>
      </w:r>
      <w:r>
        <w:rPr>
          <w:rFonts w:ascii="Times New Roman" w:eastAsia="Times New Roman" w:hAnsi="Times New Roman" w:cs="Times New Roman"/>
          <w:sz w:val="24"/>
          <w:szCs w:val="24"/>
          <w:vertAlign w:val="superscript"/>
        </w:rPr>
        <w:footnoteReference w:id="5"/>
      </w:r>
    </w:p>
    <w:p w:rsidR="00BF32ED" w:rsidRDefault="00BF32ED" w:rsidP="00AE5E04">
      <w:pPr>
        <w:pStyle w:val="Normal1"/>
        <w:ind w:firstLine="720"/>
        <w:jc w:val="both"/>
        <w:rPr>
          <w:rFonts w:ascii="Times New Roman" w:eastAsia="Times New Roman" w:hAnsi="Times New Roman" w:cs="Times New Roman"/>
          <w:sz w:val="24"/>
          <w:szCs w:val="24"/>
        </w:rPr>
      </w:pPr>
    </w:p>
    <w:p w:rsidR="00BF32ED" w:rsidRDefault="00AA2BD9" w:rsidP="00AE5E04">
      <w:pPr>
        <w:pStyle w:val="Normal1"/>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Uniform Law Commission advocates adoption of the UPAA largely on the basis that it is merely a codification of common law; the UPAA does little to change the status quo, merely codifying case law and not radically altering what attorneys who practice in this area already know.</w:t>
      </w:r>
      <w:r>
        <w:rPr>
          <w:rFonts w:ascii="Times New Roman" w:eastAsia="Times New Roman" w:hAnsi="Times New Roman" w:cs="Times New Roman"/>
          <w:sz w:val="24"/>
          <w:szCs w:val="24"/>
          <w:vertAlign w:val="superscript"/>
        </w:rPr>
        <w:footnoteReference w:id="6"/>
      </w:r>
    </w:p>
    <w:p w:rsidR="00BF32ED" w:rsidRDefault="00BF32ED" w:rsidP="00AE5E04">
      <w:pPr>
        <w:pStyle w:val="Normal1"/>
        <w:ind w:firstLine="720"/>
        <w:jc w:val="both"/>
        <w:rPr>
          <w:rFonts w:ascii="Times New Roman" w:eastAsia="Times New Roman" w:hAnsi="Times New Roman" w:cs="Times New Roman"/>
          <w:b/>
          <w:sz w:val="24"/>
          <w:szCs w:val="24"/>
        </w:rPr>
      </w:pPr>
    </w:p>
    <w:p w:rsidR="00BF32ED" w:rsidRDefault="00AA2BD9" w:rsidP="00AE5E04">
      <w:pPr>
        <w:pStyle w:val="Normal1"/>
        <w:ind w:left="-6" w:firstLine="7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UPAA has been enacted in eight states and </w:t>
      </w:r>
      <w:r w:rsidR="00AE5E0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introduced in two more in 201</w:t>
      </w:r>
      <w:r w:rsidR="00B22B09">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To date, there are only two cases on record directly referencing the Uniform Powers of Attorney Act, both in states that have not enacted it.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Both use the UPAA as a point of reference for powers of appointment law more generally.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This suggests either that the UPAA leaves little open for interpretation, or that the UPAA is so new (as it was only released for states to adopt in 2013, and has been slowly enacted across states since) that opportunities to challenge the law in its various forms have not yet arisen.</w:t>
      </w:r>
    </w:p>
    <w:p w:rsidR="00BF32ED" w:rsidRDefault="00BF32ED">
      <w:pPr>
        <w:pStyle w:val="Normal1"/>
        <w:ind w:left="720"/>
        <w:rPr>
          <w:rFonts w:ascii="Times New Roman" w:eastAsia="Times New Roman" w:hAnsi="Times New Roman" w:cs="Times New Roman"/>
          <w:sz w:val="24"/>
          <w:szCs w:val="24"/>
        </w:rPr>
      </w:pPr>
    </w:p>
    <w:p w:rsidR="00BF32ED" w:rsidRDefault="008B23D7">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AA2BD9">
        <w:rPr>
          <w:rFonts w:ascii="Times New Roman" w:eastAsia="Times New Roman" w:hAnsi="Times New Roman" w:cs="Times New Roman"/>
          <w:b/>
          <w:sz w:val="24"/>
          <w:szCs w:val="24"/>
        </w:rPr>
        <w:lastRenderedPageBreak/>
        <w:t>B. The Act in New Jersey</w:t>
      </w:r>
    </w:p>
    <w:p w:rsidR="00BF32ED" w:rsidRDefault="00BF32ED">
      <w:pPr>
        <w:pStyle w:val="Normal1"/>
        <w:ind w:left="720"/>
        <w:rPr>
          <w:rFonts w:ascii="Times New Roman" w:eastAsia="Times New Roman" w:hAnsi="Times New Roman" w:cs="Times New Roman"/>
          <w:sz w:val="24"/>
          <w:szCs w:val="24"/>
        </w:rPr>
      </w:pPr>
    </w:p>
    <w:p w:rsidR="00BF32ED" w:rsidRDefault="00AA2BD9" w:rsidP="00AE5E04">
      <w:pPr>
        <w:pStyle w:val="Normal1"/>
        <w:ind w:left="-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Jersey’s legal framework on powers of appointment is, in part, already codified. Provisions governing </w:t>
      </w:r>
      <w:r w:rsidR="000574A4">
        <w:rPr>
          <w:rFonts w:ascii="Times New Roman" w:eastAsia="Times New Roman" w:hAnsi="Times New Roman" w:cs="Times New Roman"/>
          <w:sz w:val="24"/>
          <w:szCs w:val="24"/>
        </w:rPr>
        <w:t>certain</w:t>
      </w:r>
      <w:r>
        <w:rPr>
          <w:rFonts w:ascii="Times New Roman" w:eastAsia="Times New Roman" w:hAnsi="Times New Roman" w:cs="Times New Roman"/>
          <w:sz w:val="24"/>
          <w:szCs w:val="24"/>
        </w:rPr>
        <w:t xml:space="preserve"> areas related to powers of appointment are as follows:</w:t>
      </w:r>
    </w:p>
    <w:p w:rsidR="00BF32ED" w:rsidRDefault="00AA2BD9" w:rsidP="00AE5E04">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divorce or annulment on appointment of property made by will” is found in N.J.S. 3B:3-14.</w:t>
      </w:r>
    </w:p>
    <w:p w:rsidR="00BF32ED" w:rsidRDefault="00AA2BD9" w:rsidP="00AE5E04">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general residuary clause on power of appointment” is found in N.J.S. 3B:3-45.</w:t>
      </w:r>
    </w:p>
    <w:p w:rsidR="00BF32ED" w:rsidRDefault="00AA2BD9" w:rsidP="00AE5E04">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“Disclaimers of transfers under powers of appointment” are found in N.J.S. 3B:9-1 et seq.</w:t>
      </w:r>
    </w:p>
    <w:p w:rsidR="00BF32ED" w:rsidRDefault="00AA2BD9" w:rsidP="00AE5E04">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to be given consent to account by holders of general power appointment on beneficiaries” is found in N.J.S. 3B:11-4.</w:t>
      </w:r>
    </w:p>
    <w:p w:rsidR="00BF32ED" w:rsidRDefault="00AA2BD9" w:rsidP="00AE5E04">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regarding “[m]inors and incapcitated persons [and the] power of court with respect to powers of appointment” are found in N.J.S. 3B:12-50.</w:t>
      </w:r>
    </w:p>
    <w:p w:rsidR="00BF32ED" w:rsidRDefault="00AA2BD9" w:rsidP="00AE5E04">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regarding “[r]elease of and contract not to exercise powers of appointment” are found in N.J.S. 46:2A-1 et seq.</w:t>
      </w:r>
      <w:r>
        <w:rPr>
          <w:rFonts w:ascii="Times New Roman" w:eastAsia="Times New Roman" w:hAnsi="Times New Roman" w:cs="Times New Roman"/>
          <w:sz w:val="24"/>
          <w:szCs w:val="24"/>
          <w:vertAlign w:val="superscript"/>
        </w:rPr>
        <w:footnoteReference w:id="10"/>
      </w:r>
    </w:p>
    <w:p w:rsidR="00BF32ED" w:rsidRDefault="00BF32ED" w:rsidP="00AE5E04">
      <w:pPr>
        <w:pStyle w:val="Normal1"/>
        <w:jc w:val="both"/>
        <w:rPr>
          <w:rFonts w:ascii="Times New Roman" w:eastAsia="Times New Roman" w:hAnsi="Times New Roman" w:cs="Times New Roman"/>
          <w:sz w:val="24"/>
          <w:szCs w:val="24"/>
        </w:rPr>
      </w:pPr>
    </w:p>
    <w:p w:rsidR="00BF32ED" w:rsidRDefault="00AA2BD9" w:rsidP="00AE5E0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areas covered by statute are largely ancillary to common law rules regarding powers of appointment, and do not cover the full scope of the matter. In New Jersey, the basic definition of a power of appointment is left to common law, as are general standards for creation of a power of appointment. In most situations, the leading case law governing powers of appointment comes from the first half of the twentieth century, and is written in archaic language that likely renders it inaccessible to many who might otherwise consider using a power of appointment as an estate planning device.</w:t>
      </w:r>
      <w:r>
        <w:rPr>
          <w:rFonts w:ascii="Times New Roman" w:eastAsia="Times New Roman" w:hAnsi="Times New Roman" w:cs="Times New Roman"/>
          <w:sz w:val="24"/>
          <w:szCs w:val="24"/>
          <w:vertAlign w:val="superscript"/>
        </w:rPr>
        <w:footnoteReference w:id="11"/>
      </w:r>
    </w:p>
    <w:p w:rsidR="00BF32ED" w:rsidRDefault="00BF32ED" w:rsidP="00AE5E04">
      <w:pPr>
        <w:pStyle w:val="Normal1"/>
        <w:jc w:val="both"/>
        <w:rPr>
          <w:rFonts w:ascii="Times New Roman" w:eastAsia="Times New Roman" w:hAnsi="Times New Roman" w:cs="Times New Roman"/>
          <w:sz w:val="24"/>
          <w:szCs w:val="24"/>
        </w:rPr>
      </w:pPr>
    </w:p>
    <w:p w:rsidR="004D3CB0" w:rsidRDefault="00AA2BD9" w:rsidP="004D3CB0">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414E11">
        <w:rPr>
          <w:rFonts w:ascii="Times New Roman" w:eastAsia="Times New Roman" w:hAnsi="Times New Roman" w:cs="Times New Roman"/>
          <w:sz w:val="24"/>
          <w:szCs w:val="24"/>
        </w:rPr>
        <w:t xml:space="preserve">New Jersey </w:t>
      </w:r>
      <w:r>
        <w:rPr>
          <w:rFonts w:ascii="Times New Roman" w:eastAsia="Times New Roman" w:hAnsi="Times New Roman" w:cs="Times New Roman"/>
          <w:sz w:val="24"/>
          <w:szCs w:val="24"/>
        </w:rPr>
        <w:t>has engaged in some modernization of estate planning law, for instance with the 2016 adoption of the Uniform Trust Code,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powers of appointment are largely unaddressed by statute </w:t>
      </w:r>
      <w:r w:rsidR="004D3CB0">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Additionally, the </w:t>
      </w:r>
      <w:r w:rsidR="00414E11">
        <w:rPr>
          <w:rFonts w:ascii="Times New Roman" w:eastAsia="Times New Roman" w:hAnsi="Times New Roman" w:cs="Times New Roman"/>
          <w:sz w:val="24"/>
          <w:szCs w:val="24"/>
        </w:rPr>
        <w:t>S</w:t>
      </w:r>
      <w:r>
        <w:rPr>
          <w:rFonts w:ascii="Times New Roman" w:eastAsia="Times New Roman" w:hAnsi="Times New Roman" w:cs="Times New Roman"/>
          <w:sz w:val="24"/>
          <w:szCs w:val="24"/>
        </w:rPr>
        <w:t>tate’s 1999 elimination of the rule against perpetuities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may raise some unforeseen consequences to powers of appointment that could be remedied in an enactment of the UPAA.</w:t>
      </w:r>
      <w:r w:rsidR="004D3CB0">
        <w:rPr>
          <w:rFonts w:ascii="Times New Roman" w:eastAsia="Times New Roman" w:hAnsi="Times New Roman" w:cs="Times New Roman"/>
          <w:sz w:val="24"/>
          <w:szCs w:val="24"/>
        </w:rPr>
        <w:t xml:space="preserve"> </w:t>
      </w:r>
    </w:p>
    <w:p w:rsidR="004D3CB0" w:rsidRDefault="004D3CB0" w:rsidP="004D3CB0">
      <w:pPr>
        <w:pStyle w:val="Normal1"/>
        <w:ind w:firstLine="720"/>
        <w:jc w:val="both"/>
        <w:rPr>
          <w:rFonts w:ascii="Times New Roman" w:eastAsia="Times New Roman" w:hAnsi="Times New Roman" w:cs="Times New Roman"/>
          <w:sz w:val="24"/>
          <w:szCs w:val="24"/>
        </w:rPr>
      </w:pPr>
    </w:p>
    <w:p w:rsidR="00BF32ED" w:rsidRDefault="00AA2BD9" w:rsidP="004D3CB0">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002F4C57">
        <w:rPr>
          <w:rFonts w:ascii="Times New Roman" w:eastAsia="Times New Roman" w:hAnsi="Times New Roman" w:cs="Times New Roman"/>
          <w:b/>
          <w:sz w:val="24"/>
          <w:szCs w:val="24"/>
        </w:rPr>
        <w:t>Potential Impact</w:t>
      </w:r>
      <w:r>
        <w:rPr>
          <w:rFonts w:ascii="Times New Roman" w:eastAsia="Times New Roman" w:hAnsi="Times New Roman" w:cs="Times New Roman"/>
          <w:b/>
          <w:sz w:val="24"/>
          <w:szCs w:val="24"/>
        </w:rPr>
        <w:t xml:space="preserve"> of the UPAA on </w:t>
      </w:r>
      <w:r w:rsidR="002F4C57">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xisting New Jersey Law</w:t>
      </w:r>
    </w:p>
    <w:p w:rsidR="00BF32ED" w:rsidRDefault="00BF32ED">
      <w:pPr>
        <w:pStyle w:val="Normal1"/>
        <w:rPr>
          <w:rFonts w:ascii="Times New Roman" w:eastAsia="Times New Roman" w:hAnsi="Times New Roman" w:cs="Times New Roman"/>
          <w:b/>
          <w:sz w:val="24"/>
          <w:szCs w:val="24"/>
        </w:rPr>
      </w:pPr>
    </w:p>
    <w:p w:rsidR="003430DA" w:rsidRDefault="00AA2BD9" w:rsidP="00AE5E0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04CC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3430DA">
        <w:rPr>
          <w:rFonts w:ascii="Times New Roman" w:eastAsia="Times New Roman" w:hAnsi="Times New Roman" w:cs="Times New Roman"/>
          <w:sz w:val="24"/>
          <w:szCs w:val="24"/>
        </w:rPr>
        <w:t xml:space="preserve">enactment of the </w:t>
      </w:r>
      <w:r>
        <w:rPr>
          <w:rFonts w:ascii="Times New Roman" w:eastAsia="Times New Roman" w:hAnsi="Times New Roman" w:cs="Times New Roman"/>
          <w:sz w:val="24"/>
          <w:szCs w:val="24"/>
        </w:rPr>
        <w:t xml:space="preserve">Uniform Trust Code in 2016 addressed certain </w:t>
      </w:r>
      <w:r w:rsidR="00A04CC0">
        <w:rPr>
          <w:rFonts w:ascii="Times New Roman" w:eastAsia="Times New Roman" w:hAnsi="Times New Roman" w:cs="Times New Roman"/>
          <w:sz w:val="24"/>
          <w:szCs w:val="24"/>
        </w:rPr>
        <w:t xml:space="preserve">aspects </w:t>
      </w:r>
      <w:r>
        <w:rPr>
          <w:rFonts w:ascii="Times New Roman" w:eastAsia="Times New Roman" w:hAnsi="Times New Roman" w:cs="Times New Roman"/>
          <w:sz w:val="24"/>
          <w:szCs w:val="24"/>
        </w:rPr>
        <w:t>of the powers of appointment.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r w:rsidR="003430DA">
        <w:rPr>
          <w:rFonts w:ascii="Times New Roman" w:eastAsia="Times New Roman" w:hAnsi="Times New Roman" w:cs="Times New Roman"/>
          <w:sz w:val="24"/>
          <w:szCs w:val="24"/>
        </w:rPr>
        <w:t>Adding t</w:t>
      </w:r>
      <w:r>
        <w:rPr>
          <w:rFonts w:ascii="Times New Roman" w:eastAsia="Times New Roman" w:hAnsi="Times New Roman" w:cs="Times New Roman"/>
          <w:sz w:val="24"/>
          <w:szCs w:val="24"/>
        </w:rPr>
        <w:t xml:space="preserve">he Uniform Trust Code </w:t>
      </w:r>
      <w:r w:rsidR="003430DA">
        <w:rPr>
          <w:rFonts w:ascii="Times New Roman" w:eastAsia="Times New Roman" w:hAnsi="Times New Roman" w:cs="Times New Roman"/>
          <w:sz w:val="24"/>
          <w:szCs w:val="24"/>
        </w:rPr>
        <w:t xml:space="preserve">to New Jersey’s existing body of </w:t>
      </w:r>
      <w:r w:rsidR="003430DA">
        <w:rPr>
          <w:rFonts w:ascii="Times New Roman" w:eastAsia="Times New Roman" w:hAnsi="Times New Roman" w:cs="Times New Roman"/>
          <w:sz w:val="24"/>
          <w:szCs w:val="24"/>
        </w:rPr>
        <w:lastRenderedPageBreak/>
        <w:t xml:space="preserve">statutory law, however, did not address all of the issues presently covered only by the common law. </w:t>
      </w:r>
    </w:p>
    <w:p w:rsidR="003430DA" w:rsidRDefault="003430DA" w:rsidP="00AE5E04">
      <w:pPr>
        <w:pStyle w:val="Normal1"/>
        <w:jc w:val="both"/>
        <w:rPr>
          <w:rFonts w:ascii="Times New Roman" w:eastAsia="Times New Roman" w:hAnsi="Times New Roman" w:cs="Times New Roman"/>
          <w:sz w:val="24"/>
          <w:szCs w:val="24"/>
        </w:rPr>
      </w:pPr>
    </w:p>
    <w:p w:rsidR="003430DA" w:rsidRDefault="00AA2BD9" w:rsidP="00AE5E04">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UPAA address</w:t>
      </w:r>
      <w:r w:rsidR="003430DA">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aspects of powers of appointment that were </w:t>
      </w:r>
      <w:r w:rsidR="003430DA">
        <w:rPr>
          <w:rFonts w:ascii="Times New Roman" w:eastAsia="Times New Roman" w:hAnsi="Times New Roman" w:cs="Times New Roman"/>
          <w:sz w:val="24"/>
          <w:szCs w:val="24"/>
        </w:rPr>
        <w:t xml:space="preserve">not included in the </w:t>
      </w:r>
      <w:r>
        <w:rPr>
          <w:rFonts w:ascii="Times New Roman" w:eastAsia="Times New Roman" w:hAnsi="Times New Roman" w:cs="Times New Roman"/>
          <w:sz w:val="24"/>
          <w:szCs w:val="24"/>
        </w:rPr>
        <w:t xml:space="preserve">Uniform Trust Code </w:t>
      </w:r>
      <w:r w:rsidR="003430DA">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the Restatement (Third) of Property: Wills and other Donative Transfers in order to align state law</w:t>
      </w:r>
      <w:r w:rsidR="003430D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430DA">
        <w:rPr>
          <w:rFonts w:ascii="Times New Roman" w:eastAsia="Times New Roman" w:hAnsi="Times New Roman" w:cs="Times New Roman"/>
          <w:sz w:val="24"/>
          <w:szCs w:val="24"/>
        </w:rPr>
        <w:t>across the nation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sidR="003430DA">
        <w:rPr>
          <w:rFonts w:ascii="Times New Roman" w:eastAsia="Times New Roman" w:hAnsi="Times New Roman" w:cs="Times New Roman"/>
          <w:sz w:val="24"/>
          <w:szCs w:val="24"/>
        </w:rPr>
        <w:t xml:space="preserve">A preliminary review of the </w:t>
      </w:r>
      <w:r>
        <w:rPr>
          <w:rFonts w:ascii="Times New Roman" w:eastAsia="Times New Roman" w:hAnsi="Times New Roman" w:cs="Times New Roman"/>
          <w:sz w:val="24"/>
          <w:szCs w:val="24"/>
        </w:rPr>
        <w:t xml:space="preserve">UPAA </w:t>
      </w:r>
      <w:r w:rsidR="003430DA">
        <w:rPr>
          <w:rFonts w:ascii="Times New Roman" w:eastAsia="Times New Roman" w:hAnsi="Times New Roman" w:cs="Times New Roman"/>
          <w:sz w:val="24"/>
          <w:szCs w:val="24"/>
        </w:rPr>
        <w:t xml:space="preserve">reveals that, in some instance, it </w:t>
      </w:r>
      <w:r>
        <w:rPr>
          <w:rFonts w:ascii="Times New Roman" w:eastAsia="Times New Roman" w:hAnsi="Times New Roman" w:cs="Times New Roman"/>
          <w:sz w:val="24"/>
          <w:szCs w:val="24"/>
        </w:rPr>
        <w:t xml:space="preserve">provides greater detail than </w:t>
      </w:r>
      <w:r w:rsidR="003430DA">
        <w:rPr>
          <w:rFonts w:ascii="Times New Roman" w:eastAsia="Times New Roman" w:hAnsi="Times New Roman" w:cs="Times New Roman"/>
          <w:sz w:val="24"/>
          <w:szCs w:val="24"/>
        </w:rPr>
        <w:t xml:space="preserve">New Jersey’s existing statutes. </w:t>
      </w:r>
    </w:p>
    <w:p w:rsidR="003430DA" w:rsidRDefault="003430DA" w:rsidP="00AE5E04">
      <w:pPr>
        <w:pStyle w:val="Normal1"/>
        <w:ind w:firstLine="720"/>
        <w:jc w:val="both"/>
        <w:rPr>
          <w:rFonts w:ascii="Times New Roman" w:eastAsia="Times New Roman" w:hAnsi="Times New Roman" w:cs="Times New Roman"/>
          <w:sz w:val="24"/>
          <w:szCs w:val="24"/>
        </w:rPr>
      </w:pPr>
    </w:p>
    <w:p w:rsidR="00FB128B" w:rsidRDefault="00FB128B" w:rsidP="00AE5E04">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Jersey provides some statutory guidance regarding powers of appointment in Title 46, at N.J.S. 46:2A-1 – 46:2A-5. </w:t>
      </w:r>
    </w:p>
    <w:p w:rsidR="00FB128B" w:rsidRDefault="00FB128B" w:rsidP="00AE5E04">
      <w:pPr>
        <w:pStyle w:val="Normal1"/>
        <w:ind w:firstLine="720"/>
        <w:jc w:val="both"/>
        <w:rPr>
          <w:rFonts w:ascii="Times New Roman" w:eastAsia="Times New Roman" w:hAnsi="Times New Roman" w:cs="Times New Roman"/>
          <w:sz w:val="24"/>
          <w:szCs w:val="24"/>
        </w:rPr>
      </w:pPr>
    </w:p>
    <w:p w:rsidR="00BF32ED" w:rsidRDefault="003430DA" w:rsidP="00AE5E04">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N.J.S. </w:t>
      </w:r>
      <w:r w:rsidR="00AA2BD9">
        <w:rPr>
          <w:rFonts w:ascii="Times New Roman" w:eastAsia="Times New Roman" w:hAnsi="Times New Roman" w:cs="Times New Roman"/>
          <w:sz w:val="24"/>
          <w:szCs w:val="24"/>
        </w:rPr>
        <w:t>46:2A-2</w:t>
      </w:r>
      <w:r w:rsidR="008B23D7">
        <w:rPr>
          <w:rFonts w:ascii="Times New Roman" w:eastAsia="Times New Roman" w:hAnsi="Times New Roman" w:cs="Times New Roman"/>
          <w:sz w:val="24"/>
          <w:szCs w:val="24"/>
        </w:rPr>
        <w:t xml:space="preserve">, for example, </w:t>
      </w:r>
      <w:r w:rsidR="00AA2BD9">
        <w:rPr>
          <w:rFonts w:ascii="Times New Roman" w:eastAsia="Times New Roman" w:hAnsi="Times New Roman" w:cs="Times New Roman"/>
          <w:sz w:val="24"/>
          <w:szCs w:val="24"/>
        </w:rPr>
        <w:t>states</w:t>
      </w:r>
      <w:r w:rsidR="008B23D7">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with regard to the release </w:t>
      </w:r>
      <w:r w:rsidR="00FB128B">
        <w:rPr>
          <w:rFonts w:ascii="Times New Roman" w:eastAsia="Times New Roman" w:hAnsi="Times New Roman" w:cs="Times New Roman"/>
          <w:sz w:val="24"/>
          <w:szCs w:val="24"/>
        </w:rPr>
        <w:t>of a power of appointment, and the manner in which one may do so, that a person may release the power of appointment</w:t>
      </w:r>
      <w:r w:rsidR="00AA2BD9">
        <w:rPr>
          <w:rFonts w:ascii="Times New Roman" w:eastAsia="Times New Roman" w:hAnsi="Times New Roman" w:cs="Times New Roman"/>
          <w:sz w:val="24"/>
          <w:szCs w:val="24"/>
        </w:rPr>
        <w:t xml:space="preserve">: </w:t>
      </w:r>
    </w:p>
    <w:p w:rsidR="00FB128B" w:rsidRPr="00FB128B" w:rsidRDefault="00AA2BD9" w:rsidP="00FB128B">
      <w:pPr>
        <w:pStyle w:val="Normal1"/>
        <w:pBdr>
          <w:top w:val="nil"/>
          <w:left w:val="nil"/>
          <w:bottom w:val="nil"/>
          <w:right w:val="nil"/>
          <w:between w:val="nil"/>
        </w:pBdr>
        <w:ind w:left="720" w:right="720"/>
        <w:contextualSpacing/>
        <w:jc w:val="both"/>
        <w:rPr>
          <w:color w:val="000000"/>
          <w:sz w:val="24"/>
          <w:szCs w:val="24"/>
        </w:rPr>
      </w:pPr>
      <w:r w:rsidRPr="00FB128B">
        <w:rPr>
          <w:rFonts w:ascii="Times New Roman" w:eastAsia="Times New Roman" w:hAnsi="Times New Roman" w:cs="Times New Roman"/>
          <w:color w:val="000000"/>
          <w:sz w:val="24"/>
          <w:szCs w:val="24"/>
        </w:rPr>
        <w:t>(a)</w:t>
      </w:r>
      <w:r w:rsidR="00FB128B">
        <w:rPr>
          <w:rFonts w:ascii="Times New Roman" w:eastAsia="Times New Roman" w:hAnsi="Times New Roman" w:cs="Times New Roman"/>
          <w:color w:val="000000"/>
          <w:sz w:val="24"/>
          <w:szCs w:val="24"/>
        </w:rPr>
        <w:t xml:space="preserve"> </w:t>
      </w:r>
      <w:r w:rsidRPr="00FB128B">
        <w:rPr>
          <w:rFonts w:ascii="Times New Roman" w:eastAsia="Times New Roman" w:hAnsi="Times New Roman" w:cs="Times New Roman"/>
          <w:color w:val="000000"/>
          <w:sz w:val="24"/>
          <w:szCs w:val="24"/>
        </w:rPr>
        <w:t>With respect either to the whole, or to any part, of the property subject thereto;</w:t>
      </w:r>
      <w:r w:rsidRPr="00FB128B">
        <w:rPr>
          <w:rFonts w:ascii="Times New Roman" w:eastAsia="Times New Roman" w:hAnsi="Times New Roman" w:cs="Times New Roman"/>
          <w:sz w:val="24"/>
          <w:szCs w:val="24"/>
        </w:rPr>
        <w:t xml:space="preserve"> </w:t>
      </w:r>
    </w:p>
    <w:p w:rsidR="00BF32ED" w:rsidRPr="00FB128B" w:rsidRDefault="00AA2BD9" w:rsidP="00FB128B">
      <w:pPr>
        <w:pStyle w:val="Normal1"/>
        <w:pBdr>
          <w:top w:val="nil"/>
          <w:left w:val="nil"/>
          <w:bottom w:val="nil"/>
          <w:right w:val="nil"/>
          <w:between w:val="nil"/>
        </w:pBdr>
        <w:ind w:left="720" w:right="720"/>
        <w:contextualSpacing/>
        <w:jc w:val="both"/>
        <w:rPr>
          <w:color w:val="000000"/>
          <w:sz w:val="24"/>
          <w:szCs w:val="24"/>
        </w:rPr>
      </w:pPr>
      <w:r w:rsidRPr="00FB128B">
        <w:rPr>
          <w:rFonts w:ascii="Times New Roman" w:eastAsia="Times New Roman" w:hAnsi="Times New Roman" w:cs="Times New Roman"/>
          <w:color w:val="000000"/>
          <w:sz w:val="24"/>
          <w:szCs w:val="24"/>
        </w:rPr>
        <w:t xml:space="preserve">(b) In such manner as to reduce the number of, or to limit, the persons or objects or classes of persons or objects, to whom or for whose benefit an appointment </w:t>
      </w:r>
      <w:r w:rsidRPr="00FB128B">
        <w:rPr>
          <w:rFonts w:ascii="Times New Roman" w:eastAsia="Times New Roman" w:hAnsi="Times New Roman" w:cs="Times New Roman"/>
          <w:sz w:val="24"/>
          <w:szCs w:val="24"/>
        </w:rPr>
        <w:t>otherwise</w:t>
      </w:r>
      <w:r w:rsidRPr="00FB128B">
        <w:rPr>
          <w:rFonts w:ascii="Times New Roman" w:eastAsia="Times New Roman" w:hAnsi="Times New Roman" w:cs="Times New Roman"/>
          <w:color w:val="000000"/>
          <w:sz w:val="24"/>
          <w:szCs w:val="24"/>
        </w:rPr>
        <w:t xml:space="preserve"> might be made thereunder.  </w:t>
      </w:r>
    </w:p>
    <w:p w:rsidR="00BF32ED" w:rsidRDefault="00BF32ED" w:rsidP="00AE5E04">
      <w:pPr>
        <w:pStyle w:val="Normal1"/>
        <w:jc w:val="both"/>
        <w:rPr>
          <w:rFonts w:ascii="Times New Roman" w:eastAsia="Times New Roman" w:hAnsi="Times New Roman" w:cs="Times New Roman"/>
          <w:sz w:val="24"/>
          <w:szCs w:val="24"/>
        </w:rPr>
      </w:pPr>
    </w:p>
    <w:p w:rsidR="0067497A" w:rsidRDefault="00AA2BD9" w:rsidP="0067497A">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UPAA</w:t>
      </w:r>
      <w:r w:rsidR="00ED6B73">
        <w:rPr>
          <w:rFonts w:ascii="Times New Roman" w:eastAsia="Times New Roman" w:hAnsi="Times New Roman" w:cs="Times New Roman"/>
          <w:sz w:val="24"/>
          <w:szCs w:val="24"/>
        </w:rPr>
        <w:t xml:space="preserve">, dealing with the </w:t>
      </w:r>
      <w:r w:rsidR="00A04CC0">
        <w:rPr>
          <w:rFonts w:ascii="Times New Roman" w:eastAsia="Times New Roman" w:hAnsi="Times New Roman" w:cs="Times New Roman"/>
          <w:sz w:val="24"/>
          <w:szCs w:val="24"/>
        </w:rPr>
        <w:t>release of a power of appointment</w:t>
      </w:r>
      <w:r w:rsidR="00ED6B73">
        <w:rPr>
          <w:rFonts w:ascii="Times New Roman" w:eastAsia="Times New Roman" w:hAnsi="Times New Roman" w:cs="Times New Roman"/>
          <w:sz w:val="24"/>
          <w:szCs w:val="24"/>
        </w:rPr>
        <w:t xml:space="preserve">, provides </w:t>
      </w:r>
      <w:r w:rsidR="00A04CC0">
        <w:rPr>
          <w:rFonts w:ascii="Times New Roman" w:eastAsia="Times New Roman" w:hAnsi="Times New Roman" w:cs="Times New Roman"/>
          <w:sz w:val="24"/>
          <w:szCs w:val="24"/>
        </w:rPr>
        <w:t xml:space="preserve">a different level of </w:t>
      </w:r>
      <w:r w:rsidR="00ED6B73">
        <w:rPr>
          <w:rFonts w:ascii="Times New Roman" w:eastAsia="Times New Roman" w:hAnsi="Times New Roman" w:cs="Times New Roman"/>
          <w:sz w:val="24"/>
          <w:szCs w:val="24"/>
        </w:rPr>
        <w:t xml:space="preserve">detail, explaining the </w:t>
      </w:r>
      <w:r>
        <w:rPr>
          <w:rFonts w:ascii="Times New Roman" w:eastAsia="Times New Roman" w:hAnsi="Times New Roman" w:cs="Times New Roman"/>
          <w:sz w:val="24"/>
          <w:szCs w:val="24"/>
        </w:rPr>
        <w:t xml:space="preserve">circumstances </w:t>
      </w:r>
      <w:r w:rsidR="00ED6B73">
        <w:rPr>
          <w:rFonts w:ascii="Times New Roman" w:eastAsia="Times New Roman" w:hAnsi="Times New Roman" w:cs="Times New Roman"/>
          <w:sz w:val="24"/>
          <w:szCs w:val="24"/>
        </w:rPr>
        <w:t>under which a powerholder could release the power and the manner in which this could be done</w:t>
      </w:r>
      <w:r w:rsidR="008B23D7">
        <w:rPr>
          <w:rFonts w:ascii="Times New Roman" w:eastAsia="Times New Roman" w:hAnsi="Times New Roman" w:cs="Times New Roman"/>
          <w:sz w:val="24"/>
          <w:szCs w:val="24"/>
        </w:rPr>
        <w:t xml:space="preserve"> in</w:t>
      </w:r>
      <w:r w:rsidR="00ED6B73">
        <w:rPr>
          <w:rFonts w:ascii="Times New Roman" w:eastAsia="Times New Roman" w:hAnsi="Times New Roman" w:cs="Times New Roman"/>
          <w:sz w:val="24"/>
          <w:szCs w:val="24"/>
        </w:rPr>
        <w:t xml:space="preserve"> Section 403</w:t>
      </w:r>
      <w:r w:rsidR="008B23D7">
        <w:rPr>
          <w:rFonts w:ascii="Times New Roman" w:eastAsia="Times New Roman" w:hAnsi="Times New Roman" w:cs="Times New Roman"/>
          <w:sz w:val="24"/>
          <w:szCs w:val="24"/>
        </w:rPr>
        <w:t xml:space="preserve"> as follows</w:t>
      </w:r>
      <w:r w:rsidR="00ED6B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B23D7" w:rsidRDefault="008B23D7" w:rsidP="0067497A">
      <w:pPr>
        <w:pStyle w:val="Normal1"/>
        <w:ind w:firstLine="720"/>
        <w:jc w:val="both"/>
        <w:rPr>
          <w:rFonts w:ascii="Times New Roman" w:eastAsia="Times New Roman" w:hAnsi="Times New Roman" w:cs="Times New Roman"/>
          <w:sz w:val="24"/>
          <w:szCs w:val="24"/>
        </w:rPr>
      </w:pPr>
    </w:p>
    <w:p w:rsidR="00BF32ED" w:rsidRPr="0067497A" w:rsidRDefault="00AA2BD9" w:rsidP="0067497A">
      <w:pPr>
        <w:pStyle w:val="Normal1"/>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powerholder of a releasable power of appointment may release the power in whole or in part:</w:t>
      </w:r>
    </w:p>
    <w:p w:rsidR="00BF32ED" w:rsidRDefault="0067497A" w:rsidP="0067497A">
      <w:pPr>
        <w:pStyle w:val="Normal1"/>
        <w:pBdr>
          <w:top w:val="nil"/>
          <w:left w:val="nil"/>
          <w:bottom w:val="nil"/>
          <w:right w:val="nil"/>
          <w:between w:val="nil"/>
        </w:pBdr>
        <w:ind w:left="63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A2BD9">
        <w:rPr>
          <w:rFonts w:ascii="Times New Roman" w:eastAsia="Times New Roman" w:hAnsi="Times New Roman" w:cs="Times New Roman"/>
          <w:color w:val="000000"/>
          <w:sz w:val="24"/>
          <w:szCs w:val="24"/>
        </w:rPr>
        <w:t xml:space="preserve">By substantial compliance with a method provided in the terms of the instrument creating the power; or </w:t>
      </w:r>
    </w:p>
    <w:p w:rsidR="00BF32ED" w:rsidRDefault="0067497A" w:rsidP="0067497A">
      <w:pPr>
        <w:pStyle w:val="Normal1"/>
        <w:pBdr>
          <w:top w:val="nil"/>
          <w:left w:val="nil"/>
          <w:bottom w:val="nil"/>
          <w:right w:val="nil"/>
          <w:between w:val="nil"/>
        </w:pBdr>
        <w:ind w:left="63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A2BD9">
        <w:rPr>
          <w:rFonts w:ascii="Times New Roman" w:eastAsia="Times New Roman" w:hAnsi="Times New Roman" w:cs="Times New Roman"/>
          <w:color w:val="000000"/>
          <w:sz w:val="24"/>
          <w:szCs w:val="24"/>
        </w:rPr>
        <w:t>If the terms of the instrument creating the power do not provide a method or the method provided in the terms of the instrument is not expressly made exclusive, by a record manifesting the powerholder’s intent by clear and convincing evidence</w:t>
      </w:r>
      <w:r>
        <w:rPr>
          <w:rFonts w:ascii="Times New Roman" w:eastAsia="Times New Roman" w:hAnsi="Times New Roman" w:cs="Times New Roman"/>
          <w:color w:val="000000"/>
          <w:sz w:val="24"/>
          <w:szCs w:val="24"/>
        </w:rPr>
        <w:t>.</w:t>
      </w:r>
      <w:r w:rsidR="00AA2BD9">
        <w:rPr>
          <w:rFonts w:ascii="Times New Roman" w:eastAsia="Times New Roman" w:hAnsi="Times New Roman" w:cs="Times New Roman"/>
          <w:sz w:val="24"/>
          <w:szCs w:val="24"/>
        </w:rPr>
        <w:t xml:space="preserve"> </w:t>
      </w:r>
    </w:p>
    <w:p w:rsidR="00BF32ED" w:rsidRDefault="00BF32ED" w:rsidP="00AE5E04">
      <w:pPr>
        <w:pStyle w:val="Normal1"/>
        <w:pBdr>
          <w:top w:val="nil"/>
          <w:left w:val="nil"/>
          <w:bottom w:val="nil"/>
          <w:right w:val="nil"/>
          <w:between w:val="nil"/>
        </w:pBdr>
        <w:jc w:val="both"/>
        <w:rPr>
          <w:rFonts w:ascii="Times New Roman" w:eastAsia="Times New Roman" w:hAnsi="Times New Roman" w:cs="Times New Roman"/>
          <w:sz w:val="24"/>
          <w:szCs w:val="24"/>
        </w:rPr>
      </w:pPr>
    </w:p>
    <w:p w:rsidR="00BF32ED" w:rsidRDefault="00AA2BD9">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BF32ED" w:rsidRDefault="00BF32ED">
      <w:pPr>
        <w:pStyle w:val="Normal1"/>
        <w:jc w:val="center"/>
        <w:rPr>
          <w:rFonts w:ascii="Times New Roman" w:eastAsia="Times New Roman" w:hAnsi="Times New Roman" w:cs="Times New Roman"/>
          <w:sz w:val="24"/>
          <w:szCs w:val="24"/>
        </w:rPr>
      </w:pPr>
    </w:p>
    <w:p w:rsidR="008B23D7" w:rsidRDefault="00AA2BD9" w:rsidP="00AE5E04">
      <w:pPr>
        <w:pStyle w:val="Normal1"/>
        <w:ind w:firstLine="72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While some of what the Act covers is duplicative of existing law, power of appointment is such a nuanced and intricate area of law, with downstream effects on property rights, taxation at the state and federal levels, estate planning, and more that it </w:t>
      </w:r>
      <w:r w:rsidR="008B23D7">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merit a cohesive and modernized statutory structure. </w:t>
      </w:r>
      <w:r w:rsidR="003430D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nacting the UPAA would </w:t>
      </w:r>
      <w:r w:rsidR="008B23D7">
        <w:rPr>
          <w:rFonts w:ascii="Times New Roman" w:eastAsia="Times New Roman" w:hAnsi="Times New Roman" w:cs="Times New Roman"/>
          <w:sz w:val="24"/>
          <w:szCs w:val="24"/>
        </w:rPr>
        <w:t xml:space="preserve">afford the opportunity to </w:t>
      </w:r>
      <w:r>
        <w:rPr>
          <w:rFonts w:ascii="Times New Roman" w:eastAsia="Times New Roman" w:hAnsi="Times New Roman" w:cs="Times New Roman"/>
          <w:sz w:val="24"/>
          <w:szCs w:val="24"/>
        </w:rPr>
        <w:t xml:space="preserve">better organize and frame powers of appointment, making it a more accessible </w:t>
      </w:r>
      <w:r w:rsidR="008B23D7">
        <w:rPr>
          <w:rFonts w:ascii="Times New Roman" w:eastAsia="Times New Roman" w:hAnsi="Times New Roman" w:cs="Times New Roman"/>
          <w:sz w:val="24"/>
          <w:szCs w:val="24"/>
        </w:rPr>
        <w:t>body of law</w:t>
      </w:r>
      <w:r>
        <w:rPr>
          <w:rFonts w:ascii="Times New Roman" w:eastAsia="Times New Roman" w:hAnsi="Times New Roman" w:cs="Times New Roman"/>
          <w:sz w:val="24"/>
          <w:szCs w:val="24"/>
        </w:rPr>
        <w:t xml:space="preserve">. </w:t>
      </w:r>
    </w:p>
    <w:p w:rsidR="008B23D7" w:rsidRDefault="008B23D7" w:rsidP="00AE5E04">
      <w:pPr>
        <w:pStyle w:val="Normal1"/>
        <w:ind w:firstLine="720"/>
        <w:jc w:val="both"/>
        <w:rPr>
          <w:rFonts w:ascii="Times New Roman" w:eastAsia="Times New Roman" w:hAnsi="Times New Roman" w:cs="Times New Roman"/>
          <w:sz w:val="24"/>
          <w:szCs w:val="24"/>
        </w:rPr>
      </w:pPr>
    </w:p>
    <w:p w:rsidR="00BF32ED" w:rsidRDefault="008B23D7" w:rsidP="00AE5E04">
      <w:pPr>
        <w:pStyle w:val="Normal1"/>
        <w:ind w:firstLine="720"/>
        <w:jc w:val="both"/>
      </w:pPr>
      <w:r>
        <w:rPr>
          <w:rFonts w:ascii="Times New Roman" w:eastAsia="Times New Roman" w:hAnsi="Times New Roman" w:cs="Times New Roman"/>
          <w:sz w:val="24"/>
          <w:szCs w:val="24"/>
        </w:rPr>
        <w:t xml:space="preserve">Unless the Commission would prefer otherwise, Staff’s next step will be outreach to experienced practitioners for comment regarding the UPAA, including on the issue of whether or not the Act is likely to provide sufficient benefit in New Jersey to justify continued work in this area of the law. </w:t>
      </w:r>
    </w:p>
    <w:sectPr w:rsidR="00BF32E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05" w:rsidRDefault="002F1005">
      <w:pPr>
        <w:spacing w:line="240" w:lineRule="auto"/>
      </w:pPr>
      <w:r>
        <w:separator/>
      </w:r>
    </w:p>
  </w:endnote>
  <w:endnote w:type="continuationSeparator" w:id="0">
    <w:p w:rsidR="002F1005" w:rsidRDefault="002F1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BF" w:rsidRPr="00AE5E04" w:rsidRDefault="00AE5E04">
    <w:pPr>
      <w:pStyle w:val="Normal1"/>
      <w:pBdr>
        <w:top w:val="nil"/>
        <w:left w:val="nil"/>
        <w:bottom w:val="nil"/>
        <w:right w:val="nil"/>
        <w:between w:val="nil"/>
      </w:pBdr>
      <w:tabs>
        <w:tab w:val="center" w:pos="4680"/>
        <w:tab w:val="right" w:pos="9360"/>
      </w:tabs>
      <w:spacing w:line="240" w:lineRule="auto"/>
      <w:jc w:val="center"/>
      <w:rPr>
        <w:color w:val="000000"/>
      </w:rPr>
    </w:pPr>
    <w:r w:rsidRPr="00AE5E04">
      <w:rPr>
        <w:rFonts w:ascii="Times New Roman" w:eastAsia="Times New Roman" w:hAnsi="Times New Roman" w:cs="Times New Roman"/>
        <w:color w:val="000000"/>
        <w:sz w:val="20"/>
        <w:szCs w:val="20"/>
      </w:rPr>
      <w:t xml:space="preserve">Memorandum - </w:t>
    </w:r>
    <w:r w:rsidR="005D7CBF" w:rsidRPr="00AE5E04">
      <w:rPr>
        <w:rFonts w:ascii="Times New Roman" w:eastAsia="Times New Roman" w:hAnsi="Times New Roman" w:cs="Times New Roman"/>
        <w:color w:val="000000"/>
        <w:sz w:val="20"/>
        <w:szCs w:val="20"/>
      </w:rPr>
      <w:t>Uniform Powers of Appointment Act</w:t>
    </w:r>
    <w:r>
      <w:rPr>
        <w:rFonts w:ascii="Times New Roman" w:eastAsia="Times New Roman" w:hAnsi="Times New Roman" w:cs="Times New Roman"/>
        <w:color w:val="000000"/>
        <w:sz w:val="20"/>
        <w:szCs w:val="20"/>
      </w:rPr>
      <w:t xml:space="preserve"> – June 14, 2018</w:t>
    </w:r>
    <w:r w:rsidR="005D7CBF" w:rsidRPr="00AE5E04">
      <w:rPr>
        <w:rFonts w:ascii="Times New Roman" w:eastAsia="Times New Roman" w:hAnsi="Times New Roman" w:cs="Times New Roman"/>
        <w:color w:val="000000"/>
        <w:sz w:val="20"/>
        <w:szCs w:val="20"/>
      </w:rPr>
      <w:t xml:space="preserve"> – Page </w:t>
    </w:r>
    <w:r w:rsidR="005D7CBF" w:rsidRPr="00AE5E04">
      <w:rPr>
        <w:rFonts w:ascii="Times New Roman" w:eastAsia="Times New Roman" w:hAnsi="Times New Roman" w:cs="Times New Roman"/>
        <w:color w:val="000000"/>
        <w:sz w:val="20"/>
        <w:szCs w:val="20"/>
      </w:rPr>
      <w:fldChar w:fldCharType="begin"/>
    </w:r>
    <w:r w:rsidR="005D7CBF" w:rsidRPr="00AE5E04">
      <w:rPr>
        <w:rFonts w:ascii="Times New Roman" w:eastAsia="Times New Roman" w:hAnsi="Times New Roman" w:cs="Times New Roman"/>
        <w:color w:val="000000"/>
        <w:sz w:val="20"/>
        <w:szCs w:val="20"/>
      </w:rPr>
      <w:instrText>PAGE</w:instrText>
    </w:r>
    <w:r w:rsidR="005D7CBF" w:rsidRPr="00AE5E04">
      <w:rPr>
        <w:rFonts w:ascii="Times New Roman" w:eastAsia="Times New Roman" w:hAnsi="Times New Roman" w:cs="Times New Roman"/>
        <w:color w:val="000000"/>
        <w:sz w:val="20"/>
        <w:szCs w:val="20"/>
      </w:rPr>
      <w:fldChar w:fldCharType="separate"/>
    </w:r>
    <w:r w:rsidR="00B45331">
      <w:rPr>
        <w:rFonts w:ascii="Times New Roman" w:eastAsia="Times New Roman" w:hAnsi="Times New Roman" w:cs="Times New Roman"/>
        <w:noProof/>
        <w:color w:val="000000"/>
        <w:sz w:val="20"/>
        <w:szCs w:val="20"/>
      </w:rPr>
      <w:t>1</w:t>
    </w:r>
    <w:r w:rsidR="005D7CBF" w:rsidRPr="00AE5E04">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05" w:rsidRDefault="002F1005">
      <w:pPr>
        <w:spacing w:line="240" w:lineRule="auto"/>
      </w:pPr>
      <w:r>
        <w:separator/>
      </w:r>
    </w:p>
  </w:footnote>
  <w:footnote w:type="continuationSeparator" w:id="0">
    <w:p w:rsidR="002F1005" w:rsidRDefault="002F1005">
      <w:pPr>
        <w:spacing w:line="240" w:lineRule="auto"/>
      </w:pPr>
      <w:r>
        <w:continuationSeparator/>
      </w:r>
    </w:p>
  </w:footnote>
  <w:footnote w:id="1">
    <w:p w:rsidR="005D7CBF" w:rsidRPr="0067497A" w:rsidRDefault="005D7CBF">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67497A">
        <w:rPr>
          <w:rFonts w:ascii="Times New Roman" w:hAnsi="Times New Roman" w:cs="Times New Roman"/>
          <w:sz w:val="20"/>
          <w:szCs w:val="20"/>
          <w:vertAlign w:val="superscript"/>
        </w:rPr>
        <w:footnoteRef/>
      </w:r>
      <w:r w:rsidRPr="0067497A">
        <w:rPr>
          <w:rFonts w:ascii="Times New Roman" w:eastAsia="Times New Roman" w:hAnsi="Times New Roman" w:cs="Times New Roman"/>
          <w:color w:val="000000"/>
          <w:sz w:val="20"/>
          <w:szCs w:val="20"/>
        </w:rPr>
        <w:t xml:space="preserve"> </w:t>
      </w:r>
      <w:r w:rsidRPr="0067497A">
        <w:rPr>
          <w:rFonts w:ascii="Times New Roman" w:eastAsia="Times New Roman" w:hAnsi="Times New Roman" w:cs="Times New Roman"/>
          <w:i/>
          <w:color w:val="000000"/>
          <w:sz w:val="20"/>
          <w:szCs w:val="20"/>
        </w:rPr>
        <w:t>Powers of Appointment</w:t>
      </w:r>
      <w:r w:rsidRPr="0067497A">
        <w:rPr>
          <w:rFonts w:ascii="Times New Roman" w:eastAsia="Times New Roman" w:hAnsi="Times New Roman" w:cs="Times New Roman"/>
          <w:color w:val="000000"/>
          <w:sz w:val="20"/>
          <w:szCs w:val="20"/>
        </w:rPr>
        <w:t xml:space="preserve">, </w:t>
      </w:r>
      <w:r w:rsidRPr="0067497A">
        <w:rPr>
          <w:rFonts w:ascii="Times New Roman" w:eastAsia="Times New Roman" w:hAnsi="Times New Roman" w:cs="Times New Roman"/>
          <w:smallCaps/>
          <w:color w:val="000000"/>
          <w:sz w:val="20"/>
          <w:szCs w:val="20"/>
        </w:rPr>
        <w:t>Unif. Law Comm’n,</w:t>
      </w:r>
      <w:r w:rsidRPr="0067497A">
        <w:rPr>
          <w:rFonts w:ascii="Times New Roman" w:eastAsia="Times New Roman" w:hAnsi="Times New Roman" w:cs="Times New Roman"/>
          <w:color w:val="000000"/>
          <w:sz w:val="20"/>
          <w:szCs w:val="20"/>
        </w:rPr>
        <w:t xml:space="preserve"> http://uniformlaws.org/Act.aspx?title=Powers%20of%20Appointment</w:t>
      </w:r>
    </w:p>
  </w:footnote>
  <w:footnote w:id="2">
    <w:p w:rsidR="0067497A" w:rsidRPr="0067497A" w:rsidRDefault="0067497A">
      <w:pPr>
        <w:pStyle w:val="FootnoteText"/>
        <w:rPr>
          <w:rFonts w:ascii="Times New Roman" w:hAnsi="Times New Roman" w:cs="Times New Roman"/>
          <w:i/>
          <w:lang w:val="en-US"/>
        </w:rPr>
      </w:pPr>
      <w:r w:rsidRPr="0067497A">
        <w:rPr>
          <w:rStyle w:val="FootnoteReference"/>
          <w:rFonts w:ascii="Times New Roman" w:hAnsi="Times New Roman" w:cs="Times New Roman"/>
        </w:rPr>
        <w:footnoteRef/>
      </w:r>
      <w:r w:rsidRPr="0067497A">
        <w:rPr>
          <w:rFonts w:ascii="Times New Roman" w:hAnsi="Times New Roman" w:cs="Times New Roman"/>
        </w:rPr>
        <w:t xml:space="preserve"> </w:t>
      </w:r>
      <w:r w:rsidRPr="0067497A">
        <w:rPr>
          <w:rFonts w:ascii="Times New Roman" w:hAnsi="Times New Roman" w:cs="Times New Roman"/>
          <w:i/>
          <w:lang w:val="en-US"/>
        </w:rPr>
        <w:t>Id.</w:t>
      </w:r>
    </w:p>
  </w:footnote>
  <w:footnote w:id="3">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Unif. Powers of Appointment Act</w:t>
      </w:r>
      <w:r>
        <w:rPr>
          <w:rFonts w:ascii="Times New Roman" w:eastAsia="Times New Roman" w:hAnsi="Times New Roman" w:cs="Times New Roman"/>
          <w:sz w:val="20"/>
          <w:szCs w:val="20"/>
        </w:rPr>
        <w:t xml:space="preserve"> prefatory note (</w:t>
      </w:r>
      <w:r>
        <w:rPr>
          <w:rFonts w:ascii="Times New Roman" w:eastAsia="Times New Roman" w:hAnsi="Times New Roman" w:cs="Times New Roman"/>
          <w:smallCaps/>
          <w:sz w:val="20"/>
          <w:szCs w:val="20"/>
        </w:rPr>
        <w:t>Unif. Law Comm’n</w:t>
      </w:r>
      <w:r>
        <w:rPr>
          <w:rFonts w:ascii="Times New Roman" w:eastAsia="Times New Roman" w:hAnsi="Times New Roman" w:cs="Times New Roman"/>
          <w:sz w:val="20"/>
          <w:szCs w:val="20"/>
        </w:rPr>
        <w:t xml:space="preserve"> 2013).</w:t>
      </w:r>
    </w:p>
  </w:footnote>
  <w:footnote w:id="4">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5">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Powers of Appointment Summary</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Unif. Law Comm’n</w:t>
      </w:r>
      <w:r>
        <w:rPr>
          <w:rFonts w:ascii="Times New Roman" w:eastAsia="Times New Roman" w:hAnsi="Times New Roman" w:cs="Times New Roman"/>
          <w:sz w:val="20"/>
          <w:szCs w:val="20"/>
        </w:rPr>
        <w:t>, http://uniformlaws.org/ActSummary.aspx?title=Powers%20of%20Appointment.</w:t>
      </w:r>
    </w:p>
  </w:footnote>
  <w:footnote w:id="6">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Why Your State Should Adopt UPOAPPA</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Unif. Law Comm’n</w:t>
      </w:r>
      <w:r>
        <w:rPr>
          <w:rFonts w:ascii="Times New Roman" w:eastAsia="Times New Roman" w:hAnsi="Times New Roman" w:cs="Times New Roman"/>
          <w:sz w:val="20"/>
          <w:szCs w:val="20"/>
        </w:rPr>
        <w:t>, http://www.uniformlaws.org/Narrative.aspx?title=Why%20Your%20State%20Should%20Adopt%20UPOAPPA.</w:t>
      </w:r>
    </w:p>
  </w:footnote>
  <w:footnote w:id="7">
    <w:p w:rsidR="005D7CBF" w:rsidRDefault="005D7CBF">
      <w:pPr>
        <w:pStyle w:val="Normal1"/>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Legislative Fact Sheet - Powers of Appointment</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Unif. Law Comm’n</w:t>
      </w:r>
      <w:r>
        <w:rPr>
          <w:rFonts w:ascii="Times New Roman" w:eastAsia="Times New Roman" w:hAnsi="Times New Roman" w:cs="Times New Roman"/>
          <w:sz w:val="20"/>
          <w:szCs w:val="20"/>
        </w:rPr>
        <w:t xml:space="preserve">, http://uniformlaws.org/LegislativeFactSheet.aspx?title=Powers%20of%20Appointment. Colorado, Missouri, Montana, Nevada, New Mexico, North Carolina, Utah, and Virginia have the UPAA in place; Illinois and Kentucky have introduced legislation to enact it. </w:t>
      </w:r>
      <w:r>
        <w:rPr>
          <w:rFonts w:ascii="Times New Roman" w:eastAsia="Times New Roman" w:hAnsi="Times New Roman" w:cs="Times New Roman"/>
          <w:i/>
          <w:sz w:val="20"/>
          <w:szCs w:val="20"/>
        </w:rPr>
        <w:t>Id.</w:t>
      </w:r>
    </w:p>
  </w:footnote>
  <w:footnote w:id="8">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LexisNexis search for “powers of appointment” jurisdiction-limited to the states that have enacted the UPAA and time-limited to 2013 and beyond returns only four results, none of which reference the UPAA. A similar search for “power of appointment” returns fifteen results, none of which reference the UPAA.</w:t>
      </w:r>
    </w:p>
  </w:footnote>
  <w:footnote w:id="9">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In re Tigani</w:t>
      </w:r>
      <w:r>
        <w:rPr>
          <w:rFonts w:ascii="Times New Roman" w:eastAsia="Times New Roman" w:hAnsi="Times New Roman" w:cs="Times New Roman"/>
          <w:sz w:val="20"/>
          <w:szCs w:val="20"/>
        </w:rPr>
        <w:t xml:space="preserve">, No. 7339-ML, 2016 Del. Ch. LEXIS *26, *49 n.134, *57 n.150, n.153 (Del. Ch. Feb. 12, 2016); </w:t>
      </w:r>
      <w:r>
        <w:rPr>
          <w:rFonts w:ascii="Times New Roman" w:eastAsia="Times New Roman" w:hAnsi="Times New Roman" w:cs="Times New Roman"/>
          <w:i/>
          <w:sz w:val="20"/>
          <w:szCs w:val="20"/>
        </w:rPr>
        <w:t>Hornung v. Stockall</w:t>
      </w:r>
      <w:r>
        <w:rPr>
          <w:rFonts w:ascii="Times New Roman" w:eastAsia="Times New Roman" w:hAnsi="Times New Roman" w:cs="Times New Roman"/>
          <w:sz w:val="20"/>
          <w:szCs w:val="20"/>
        </w:rPr>
        <w:t>, 296 Neb. 565, 575 (2017).</w:t>
      </w:r>
    </w:p>
  </w:footnote>
  <w:footnote w:id="10">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11-203 New Jersey Transaction Guide § 203.01 (2017).</w:t>
      </w:r>
    </w:p>
  </w:footnote>
  <w:footnote w:id="11">
    <w:p w:rsidR="005D7CBF" w:rsidRDefault="005D7CB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guide outlining the law of powers of appointment in New Jersey contains no non-tax case law from a year after 1962. </w:t>
      </w:r>
      <w:r>
        <w:rPr>
          <w:rFonts w:ascii="Times New Roman" w:eastAsia="Times New Roman" w:hAnsi="Times New Roman" w:cs="Times New Roman"/>
          <w:color w:val="373739"/>
          <w:sz w:val="20"/>
          <w:szCs w:val="20"/>
          <w:highlight w:val="white"/>
        </w:rPr>
        <w:t>11-203 New Jersey Transaction Guide CHAPTER 203 (2017).</w:t>
      </w:r>
    </w:p>
  </w:footnote>
  <w:footnote w:id="12">
    <w:p w:rsidR="005D7CBF" w:rsidRDefault="005D7CBF">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N.J.S. 3B:31-1 et. seq.</w:t>
      </w:r>
    </w:p>
  </w:footnote>
  <w:footnote w:id="13">
    <w:p w:rsidR="005D7CBF" w:rsidRDefault="005D7CBF">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N.J.S. 46:2F-9.</w:t>
      </w:r>
    </w:p>
  </w:footnote>
  <w:footnote w:id="14">
    <w:p w:rsidR="005D7CBF" w:rsidRDefault="005D7CBF">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N.J.S. 3B:31-1 et. seq.</w:t>
      </w:r>
    </w:p>
  </w:footnote>
  <w:footnote w:id="15">
    <w:p w:rsidR="005D7CBF" w:rsidRDefault="005D7CBF">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Powers of Appointment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mallCaps/>
          <w:color w:val="000000"/>
          <w:sz w:val="20"/>
          <w:szCs w:val="20"/>
        </w:rPr>
        <w:t>Unif. Law Comm’n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76F4"/>
    <w:multiLevelType w:val="multilevel"/>
    <w:tmpl w:val="8D7E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93194C"/>
    <w:multiLevelType w:val="multilevel"/>
    <w:tmpl w:val="5AB65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712881"/>
    <w:multiLevelType w:val="multilevel"/>
    <w:tmpl w:val="415A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E42F20"/>
    <w:multiLevelType w:val="multilevel"/>
    <w:tmpl w:val="4238DF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2ED"/>
    <w:rsid w:val="00046FBA"/>
    <w:rsid w:val="000574A4"/>
    <w:rsid w:val="002F1005"/>
    <w:rsid w:val="002F4C57"/>
    <w:rsid w:val="003430DA"/>
    <w:rsid w:val="003A0FBE"/>
    <w:rsid w:val="00414E11"/>
    <w:rsid w:val="00431B43"/>
    <w:rsid w:val="004D3CB0"/>
    <w:rsid w:val="005D7CBF"/>
    <w:rsid w:val="0067497A"/>
    <w:rsid w:val="00842C29"/>
    <w:rsid w:val="008B23D7"/>
    <w:rsid w:val="00A04CC0"/>
    <w:rsid w:val="00A52672"/>
    <w:rsid w:val="00AA2BD9"/>
    <w:rsid w:val="00AE5E04"/>
    <w:rsid w:val="00B016E4"/>
    <w:rsid w:val="00B166F0"/>
    <w:rsid w:val="00B22B09"/>
    <w:rsid w:val="00B45331"/>
    <w:rsid w:val="00BF32ED"/>
    <w:rsid w:val="00D425C8"/>
    <w:rsid w:val="00ED6B73"/>
    <w:rsid w:val="00F51FB1"/>
    <w:rsid w:val="00FB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9128ABE-B019-4574-9254-67EE4CE5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rPr>
  </w:style>
  <w:style w:type="paragraph" w:styleId="Heading1">
    <w:name w:val="heading 1"/>
    <w:basedOn w:val="Normal1"/>
    <w:next w:val="Normal1"/>
    <w:qFormat/>
    <w:pPr>
      <w:keepNext/>
      <w:keepLines/>
      <w:spacing w:before="400" w:after="120"/>
      <w:outlineLvl w:val="0"/>
    </w:pPr>
    <w:rPr>
      <w:sz w:val="40"/>
      <w:szCs w:val="40"/>
    </w:rPr>
  </w:style>
  <w:style w:type="paragraph" w:styleId="Heading2">
    <w:name w:val="heading 2"/>
    <w:basedOn w:val="Normal1"/>
    <w:next w:val="Normal1"/>
    <w:qFormat/>
    <w:pPr>
      <w:keepNext/>
      <w:keepLines/>
      <w:spacing w:before="360" w:after="120"/>
      <w:outlineLvl w:val="1"/>
    </w:pPr>
    <w:rPr>
      <w:sz w:val="32"/>
      <w:szCs w:val="32"/>
    </w:rPr>
  </w:style>
  <w:style w:type="paragraph" w:styleId="Heading3">
    <w:name w:val="heading 3"/>
    <w:basedOn w:val="Normal1"/>
    <w:next w:val="Normal1"/>
    <w:qFormat/>
    <w:pPr>
      <w:keepNext/>
      <w:keepLines/>
      <w:spacing w:before="320" w:after="80"/>
      <w:outlineLvl w:val="2"/>
    </w:pPr>
    <w:rPr>
      <w:color w:val="434343"/>
      <w:sz w:val="28"/>
      <w:szCs w:val="28"/>
    </w:rPr>
  </w:style>
  <w:style w:type="paragraph" w:styleId="Heading4">
    <w:name w:val="heading 4"/>
    <w:basedOn w:val="Normal1"/>
    <w:next w:val="Normal1"/>
    <w:qFormat/>
    <w:pPr>
      <w:keepNext/>
      <w:keepLines/>
      <w:spacing w:before="280" w:after="80"/>
      <w:outlineLvl w:val="3"/>
    </w:pPr>
    <w:rPr>
      <w:color w:val="666666"/>
      <w:sz w:val="24"/>
      <w:szCs w:val="24"/>
    </w:rPr>
  </w:style>
  <w:style w:type="paragraph" w:styleId="Heading5">
    <w:name w:val="heading 5"/>
    <w:basedOn w:val="Normal1"/>
    <w:next w:val="Normal1"/>
    <w:qFormat/>
    <w:pPr>
      <w:keepNext/>
      <w:keepLines/>
      <w:spacing w:before="240" w:after="80"/>
      <w:outlineLvl w:val="4"/>
    </w:pPr>
    <w:rPr>
      <w:color w:val="666666"/>
    </w:rPr>
  </w:style>
  <w:style w:type="paragraph" w:styleId="Heading6">
    <w:name w:val="heading 6"/>
    <w:basedOn w:val="Normal1"/>
    <w:next w:val="Normal1"/>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sz w:val="22"/>
      <w:szCs w:val="22"/>
      <w:lang w:val="en"/>
    </w:rPr>
  </w:style>
  <w:style w:type="paragraph" w:styleId="Title">
    <w:name w:val="Title"/>
    <w:basedOn w:val="Normal1"/>
    <w:next w:val="Normal1"/>
    <w:qFormat/>
    <w:pPr>
      <w:keepNext/>
      <w:keepLines/>
      <w:spacing w:after="60"/>
    </w:pPr>
    <w:rPr>
      <w:sz w:val="52"/>
      <w:szCs w:val="52"/>
    </w:rPr>
  </w:style>
  <w:style w:type="paragraph" w:styleId="Subtitle">
    <w:name w:val="Subtitle"/>
    <w:basedOn w:val="Normal1"/>
    <w:next w:val="Normal1"/>
    <w:qFormat/>
    <w:pPr>
      <w:keepNext/>
      <w:keepLines/>
      <w:spacing w:after="320"/>
    </w:pPr>
    <w:rPr>
      <w:color w:val="666666"/>
      <w:sz w:val="30"/>
      <w:szCs w:val="30"/>
    </w:rPr>
  </w:style>
  <w:style w:type="paragraph" w:styleId="Header">
    <w:name w:val="header"/>
    <w:basedOn w:val="Normal"/>
    <w:link w:val="HeaderChar"/>
    <w:uiPriority w:val="99"/>
    <w:unhideWhenUsed/>
    <w:rsid w:val="00AE5E04"/>
    <w:pPr>
      <w:tabs>
        <w:tab w:val="center" w:pos="4680"/>
        <w:tab w:val="right" w:pos="9360"/>
      </w:tabs>
    </w:pPr>
  </w:style>
  <w:style w:type="character" w:customStyle="1" w:styleId="HeaderChar">
    <w:name w:val="Header Char"/>
    <w:basedOn w:val="DefaultParagraphFont"/>
    <w:link w:val="Header"/>
    <w:uiPriority w:val="99"/>
    <w:rsid w:val="00AE5E04"/>
    <w:rPr>
      <w:sz w:val="22"/>
      <w:szCs w:val="22"/>
      <w:lang w:val="en"/>
    </w:rPr>
  </w:style>
  <w:style w:type="paragraph" w:styleId="Footer">
    <w:name w:val="footer"/>
    <w:basedOn w:val="Normal"/>
    <w:link w:val="FooterChar"/>
    <w:uiPriority w:val="99"/>
    <w:unhideWhenUsed/>
    <w:rsid w:val="00AE5E04"/>
    <w:pPr>
      <w:tabs>
        <w:tab w:val="center" w:pos="4680"/>
        <w:tab w:val="right" w:pos="9360"/>
      </w:tabs>
    </w:pPr>
  </w:style>
  <w:style w:type="character" w:customStyle="1" w:styleId="FooterChar">
    <w:name w:val="Footer Char"/>
    <w:basedOn w:val="DefaultParagraphFont"/>
    <w:link w:val="Footer"/>
    <w:uiPriority w:val="99"/>
    <w:rsid w:val="00AE5E04"/>
    <w:rPr>
      <w:sz w:val="22"/>
      <w:szCs w:val="22"/>
      <w:lang w:val="en"/>
    </w:rPr>
  </w:style>
  <w:style w:type="paragraph" w:styleId="FootnoteText">
    <w:name w:val="footnote text"/>
    <w:basedOn w:val="Normal"/>
    <w:link w:val="FootnoteTextChar"/>
    <w:uiPriority w:val="99"/>
    <w:semiHidden/>
    <w:unhideWhenUsed/>
    <w:rsid w:val="0067497A"/>
    <w:rPr>
      <w:sz w:val="20"/>
      <w:szCs w:val="20"/>
    </w:rPr>
  </w:style>
  <w:style w:type="character" w:customStyle="1" w:styleId="FootnoteTextChar">
    <w:name w:val="Footnote Text Char"/>
    <w:basedOn w:val="DefaultParagraphFont"/>
    <w:link w:val="FootnoteText"/>
    <w:uiPriority w:val="99"/>
    <w:semiHidden/>
    <w:rsid w:val="0067497A"/>
    <w:rPr>
      <w:lang w:val="en"/>
    </w:rPr>
  </w:style>
  <w:style w:type="character" w:styleId="FootnoteReference">
    <w:name w:val="footnote reference"/>
    <w:basedOn w:val="DefaultParagraphFont"/>
    <w:uiPriority w:val="99"/>
    <w:semiHidden/>
    <w:unhideWhenUsed/>
    <w:rsid w:val="00674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09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D815-7BD5-4891-AEDA-BDCF1272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6997</Characters>
  <Application>Microsoft Office Word</Application>
  <DocSecurity>0</DocSecurity>
  <Lines>145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Reilly</dc:creator>
  <cp:keywords/>
  <cp:lastModifiedBy>L Tharney</cp:lastModifiedBy>
  <cp:revision>2</cp:revision>
  <dcterms:created xsi:type="dcterms:W3CDTF">2018-06-14T20:39:00Z</dcterms:created>
  <dcterms:modified xsi:type="dcterms:W3CDTF">2018-06-14T20:39:00Z</dcterms:modified>
</cp:coreProperties>
</file>